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55F" w:rsidRDefault="0085046A" w:rsidP="00E2455F">
      <w:pPr>
        <w:pStyle w:val="NoSpacing"/>
        <w:spacing w:line="360" w:lineRule="auto"/>
        <w:jc w:val="center"/>
        <w:rPr>
          <w:sz w:val="36"/>
        </w:rPr>
      </w:pPr>
      <w:r>
        <w:rPr>
          <w:sz w:val="36"/>
        </w:rPr>
        <w:t>Honesty and Clarity in Judicial Review:</w:t>
      </w:r>
    </w:p>
    <w:p w:rsidR="0085046A" w:rsidRDefault="0085046A" w:rsidP="0085046A">
      <w:pPr>
        <w:pStyle w:val="NoSpacing"/>
        <w:spacing w:line="360" w:lineRule="auto"/>
        <w:jc w:val="center"/>
        <w:rPr>
          <w:sz w:val="36"/>
        </w:rPr>
      </w:pPr>
      <w:r>
        <w:rPr>
          <w:sz w:val="36"/>
        </w:rPr>
        <w:t>Shedding the Limitations of Sovereignty and</w:t>
      </w:r>
    </w:p>
    <w:p w:rsidR="0085046A" w:rsidRDefault="0085046A" w:rsidP="0085046A">
      <w:pPr>
        <w:pStyle w:val="NoSpacing"/>
        <w:spacing w:line="360" w:lineRule="auto"/>
        <w:jc w:val="center"/>
        <w:rPr>
          <w:sz w:val="36"/>
        </w:rPr>
      </w:pPr>
      <w:proofErr w:type="gramStart"/>
      <w:r>
        <w:rPr>
          <w:sz w:val="36"/>
        </w:rPr>
        <w:t>the</w:t>
      </w:r>
      <w:proofErr w:type="gramEnd"/>
      <w:r>
        <w:rPr>
          <w:sz w:val="36"/>
        </w:rPr>
        <w:t xml:space="preserve"> </w:t>
      </w:r>
      <w:r w:rsidR="00E42BF0">
        <w:rPr>
          <w:sz w:val="36"/>
        </w:rPr>
        <w:t>Ever-</w:t>
      </w:r>
      <w:r>
        <w:rPr>
          <w:sz w:val="36"/>
        </w:rPr>
        <w:t>Contentious Rule of Law</w:t>
      </w:r>
    </w:p>
    <w:p w:rsidR="00723119" w:rsidRDefault="00723119" w:rsidP="005A6959">
      <w:pPr>
        <w:pStyle w:val="NoSpacing"/>
        <w:spacing w:line="360" w:lineRule="auto"/>
      </w:pPr>
    </w:p>
    <w:p w:rsidR="009D7F87" w:rsidRDefault="00870360" w:rsidP="00870360">
      <w:pPr>
        <w:pStyle w:val="NoSpacing"/>
        <w:tabs>
          <w:tab w:val="left" w:pos="567"/>
        </w:tabs>
        <w:spacing w:line="360" w:lineRule="auto"/>
        <w:jc w:val="center"/>
      </w:pPr>
      <w:r>
        <w:rPr>
          <w:b/>
        </w:rPr>
        <w:t>I.</w:t>
      </w:r>
      <w:r>
        <w:rPr>
          <w:b/>
        </w:rPr>
        <w:tab/>
      </w:r>
      <w:r w:rsidR="009D7F87">
        <w:rPr>
          <w:b/>
        </w:rPr>
        <w:t>INTRODUCTION</w:t>
      </w:r>
    </w:p>
    <w:p w:rsidR="00054BDB" w:rsidRDefault="00054BDB" w:rsidP="00F7627D">
      <w:pPr>
        <w:pStyle w:val="NoSpacing"/>
        <w:spacing w:line="360" w:lineRule="auto"/>
        <w:ind w:firstLine="567"/>
      </w:pPr>
      <w:r>
        <w:t>In the final chapter of the most extensive debate on the constitutional foundations of judicial review so far (and likely, also, ever),</w:t>
      </w:r>
      <w:r>
        <w:rPr>
          <w:rStyle w:val="FootnoteReference"/>
        </w:rPr>
        <w:footnoteReference w:id="1"/>
      </w:r>
      <w:r>
        <w:t xml:space="preserve"> Forsyth said that this particular point of academic debate, if continued, “</w:t>
      </w:r>
      <w:proofErr w:type="gramStart"/>
      <w:r>
        <w:t>will</w:t>
      </w:r>
      <w:proofErr w:type="gramEnd"/>
      <w:r>
        <w:t xml:space="preserve"> descend into trivial or arcane points of detail that are not of general interest and, in the end of little value”</w:t>
      </w:r>
      <w:r>
        <w:rPr>
          <w:rStyle w:val="FootnoteReference"/>
        </w:rPr>
        <w:footnoteReference w:id="2"/>
      </w:r>
      <w:r>
        <w:t>. His desired departure as a participant in the debate was certainly well-founded even then, 18 years ago. He and Elliott</w:t>
      </w:r>
      <w:r>
        <w:rPr>
          <w:rStyle w:val="FootnoteReference"/>
        </w:rPr>
        <w:footnoteReference w:id="3"/>
      </w:r>
      <w:r>
        <w:t xml:space="preserve"> had so thoroughly refined the </w:t>
      </w:r>
      <w:r>
        <w:rPr>
          <w:i/>
        </w:rPr>
        <w:t>ultra vires</w:t>
      </w:r>
      <w:r>
        <w:t xml:space="preserve"> doctrine that it presented inescapable logic as long as one accepted that Parliament was sovereign. Or as he put it, “I wish to remark that I… will not be found in the last ditch defending parliamentary sovereignty… [However], [t]he United Kingdom has, at present, a sovereign parliament and that is the context in which a justification for judicial </w:t>
      </w:r>
      <w:r>
        <w:rPr>
          <w:i/>
        </w:rPr>
        <w:t>must</w:t>
      </w:r>
      <w:r>
        <w:t xml:space="preserve"> be found.”</w:t>
      </w:r>
      <w:r>
        <w:rPr>
          <w:rStyle w:val="FootnoteReference"/>
        </w:rPr>
        <w:footnoteReference w:id="4"/>
      </w:r>
    </w:p>
    <w:p w:rsidR="00A17D86" w:rsidRDefault="00643E7E" w:rsidP="00F7627D">
      <w:pPr>
        <w:pStyle w:val="NoSpacing"/>
        <w:spacing w:line="360" w:lineRule="auto"/>
        <w:ind w:firstLine="709"/>
      </w:pPr>
      <w:r>
        <w:t xml:space="preserve">Although the </w:t>
      </w:r>
      <w:r>
        <w:rPr>
          <w:i/>
        </w:rPr>
        <w:t>ultra vires</w:t>
      </w:r>
      <w:r>
        <w:t xml:space="preserve"> doctrine is certainly an elegant solution to the ‘constitutional foundations’ debate, </w:t>
      </w:r>
      <w:r w:rsidR="00A128E0">
        <w:t>i</w:t>
      </w:r>
      <w:r w:rsidR="008A361C">
        <w:t>t</w:t>
      </w:r>
      <w:r w:rsidR="00A128E0">
        <w:t>s problem is that it</w:t>
      </w:r>
      <w:r w:rsidR="007E23F8">
        <w:t xml:space="preserve"> contains</w:t>
      </w:r>
      <w:r w:rsidR="00A128E0">
        <w:t xml:space="preserve"> little, if </w:t>
      </w:r>
      <w:r w:rsidR="006C7A6F">
        <w:t>any “specific content”.</w:t>
      </w:r>
      <w:r w:rsidR="006C7A6F">
        <w:rPr>
          <w:rStyle w:val="FootnoteReference"/>
        </w:rPr>
        <w:footnoteReference w:id="5"/>
      </w:r>
      <w:r w:rsidR="00A128E0">
        <w:t xml:space="preserve"> </w:t>
      </w:r>
      <w:r w:rsidR="003F15CA">
        <w:t xml:space="preserve">What does it mean to say that Parliament implicitly grants an </w:t>
      </w:r>
      <w:r w:rsidR="003F15CA">
        <w:rPr>
          <w:i/>
        </w:rPr>
        <w:t>imprimatur</w:t>
      </w:r>
      <w:r w:rsidR="003F15CA">
        <w:t xml:space="preserve"> to the courts to give effect to the rule of law? </w:t>
      </w:r>
      <w:r w:rsidR="00AB69D9">
        <w:t>How do we determine the scope of the ‘rule of law</w:t>
      </w:r>
      <w:r w:rsidR="00F7627D">
        <w:t>”</w:t>
      </w:r>
      <w:r w:rsidR="00AB69D9">
        <w:t xml:space="preserve"> </w:t>
      </w:r>
      <w:r w:rsidR="008B1819">
        <w:t xml:space="preserve">to which </w:t>
      </w:r>
      <w:r w:rsidR="00AB69D9">
        <w:t xml:space="preserve">Parliament intends to be </w:t>
      </w:r>
      <w:r w:rsidR="008B1819">
        <w:t>given effect</w:t>
      </w:r>
      <w:r w:rsidR="00AB69D9">
        <w:t xml:space="preserve">? </w:t>
      </w:r>
      <w:r w:rsidR="003F15CA">
        <w:t xml:space="preserve">To what degree </w:t>
      </w:r>
      <w:r w:rsidR="003427EC">
        <w:t>should</w:t>
      </w:r>
      <w:r w:rsidR="003F15CA">
        <w:t xml:space="preserve"> that implicit intention outweigh the specific words chosen by Parliament, </w:t>
      </w:r>
      <w:r w:rsidR="00904ADC">
        <w:t>or</w:t>
      </w:r>
      <w:r w:rsidR="003F15CA">
        <w:t xml:space="preserve"> vice-versa</w:t>
      </w:r>
      <w:r w:rsidR="00AB69D9">
        <w:t>?</w:t>
      </w:r>
      <w:r w:rsidR="00875556">
        <w:t xml:space="preserve"> What factors should be considered to determine if a rule of law principle has been breached or not?</w:t>
      </w:r>
      <w:r w:rsidR="00AB69D9">
        <w:t xml:space="preserve"> </w:t>
      </w:r>
      <w:r w:rsidR="0094082C">
        <w:t xml:space="preserve">Craig strongly voiced these criticisms of </w:t>
      </w:r>
      <w:r w:rsidR="0094082C">
        <w:rPr>
          <w:i/>
        </w:rPr>
        <w:t>ultra vires</w:t>
      </w:r>
      <w:r w:rsidR="0094082C">
        <w:t>, calling it a “formal bow to general legislative intent”.</w:t>
      </w:r>
      <w:r w:rsidR="0094082C">
        <w:rPr>
          <w:rStyle w:val="FootnoteReference"/>
        </w:rPr>
        <w:footnoteReference w:id="6"/>
      </w:r>
      <w:r w:rsidR="0094082C">
        <w:t xml:space="preserve"> Mere reference to what Parliament might have implicitly </w:t>
      </w:r>
      <w:r w:rsidR="00F7627D">
        <w:t>intend generally reveals</w:t>
      </w:r>
      <w:r w:rsidR="00867227">
        <w:t xml:space="preserve"> little</w:t>
      </w:r>
      <w:r w:rsidR="0094082C">
        <w:t xml:space="preserve"> about the proper scope of review which should be conducted, and we are left to conclude that the courts are somehow developing the various </w:t>
      </w:r>
      <w:r w:rsidR="0094082C">
        <w:lastRenderedPageBreak/>
        <w:t>principles of judicial review on their own accord. This is amplified by the development of the doctrine to avoid criticisms of artificiality</w:t>
      </w:r>
      <w:r w:rsidR="00A17D86">
        <w:t>, and</w:t>
      </w:r>
      <w:r w:rsidR="00A17D86" w:rsidRPr="00A17D86">
        <w:t xml:space="preserve"> </w:t>
      </w:r>
      <w:r w:rsidR="00A17D86">
        <w:t xml:space="preserve">is best gleaned from Forsyth’s own words about what the </w:t>
      </w:r>
      <w:r w:rsidR="00A17D86">
        <w:rPr>
          <w:i/>
        </w:rPr>
        <w:t>ultra vires</w:t>
      </w:r>
      <w:r w:rsidR="00A17D86">
        <w:t xml:space="preserve"> doctrine is and is not:</w:t>
      </w:r>
    </w:p>
    <w:p w:rsidR="00A17D86" w:rsidRDefault="00A17D86" w:rsidP="00A17D86">
      <w:pPr>
        <w:pStyle w:val="NoSpacing"/>
        <w:spacing w:line="360" w:lineRule="auto"/>
      </w:pPr>
    </w:p>
    <w:p w:rsidR="00A17D86" w:rsidRPr="00E73210" w:rsidRDefault="00A17D86" w:rsidP="00A17D86">
      <w:pPr>
        <w:pStyle w:val="NoSpacing"/>
        <w:spacing w:line="360" w:lineRule="auto"/>
        <w:ind w:left="851" w:right="804"/>
      </w:pPr>
      <w:r>
        <w:t>It does not assert that every nuance of every ground of judicial review is to be found in the implied intent of the legislature… It simply asserts that when the courts do turn to common law principle to guide their development of judicial review they are doing what Parliament intended them to do. Parliament thus authorises the courts to develop the law in the way that they do.</w:t>
      </w:r>
      <w:r>
        <w:rPr>
          <w:rStyle w:val="FootnoteReference"/>
        </w:rPr>
        <w:footnoteReference w:id="7"/>
      </w:r>
    </w:p>
    <w:p w:rsidR="0053434B" w:rsidRDefault="00FB0C8D" w:rsidP="00F7627D">
      <w:pPr>
        <w:pStyle w:val="NoSpacing"/>
        <w:spacing w:line="360" w:lineRule="auto"/>
        <w:ind w:firstLine="567"/>
      </w:pPr>
      <w:r>
        <w:t xml:space="preserve">Others commentators have also echoed this criticism, that “nothing of substance has been found in Forsyth’s account of </w:t>
      </w:r>
      <w:r>
        <w:rPr>
          <w:i/>
        </w:rPr>
        <w:t>ultra vires</w:t>
      </w:r>
      <w:r>
        <w:t>”.</w:t>
      </w:r>
      <w:r>
        <w:rPr>
          <w:rStyle w:val="FootnoteReference"/>
        </w:rPr>
        <w:footnoteReference w:id="8"/>
      </w:r>
      <w:r>
        <w:t xml:space="preserve"> The circularity of saying the courts are doing what Parliament intends them to do is saying nothing more than administrative bodies are bound to obey the law—regardless of whether its sourced in legislation or the common law. </w:t>
      </w:r>
      <w:r w:rsidR="00834E8E">
        <w:t>Forsyth acknowledged some truth in these charges, but argues that it should not be exaggerate</w:t>
      </w:r>
      <w:r w:rsidR="00923772">
        <w:t>d</w:t>
      </w:r>
      <w:r w:rsidR="00834E8E">
        <w:t xml:space="preserve"> to “obscure the doctrine’s strengths”.</w:t>
      </w:r>
      <w:r w:rsidR="00834E8E">
        <w:rPr>
          <w:rStyle w:val="FootnoteReference"/>
        </w:rPr>
        <w:footnoteReference w:id="9"/>
      </w:r>
      <w:r w:rsidR="00F7627D">
        <w:t xml:space="preserve"> Using Lord Bridge</w:t>
      </w:r>
      <w:r w:rsidR="005D274B">
        <w:t xml:space="preserve">s speech from </w:t>
      </w:r>
      <w:r w:rsidR="005D274B" w:rsidRPr="00F7627D">
        <w:t>Lloyd v McMahon</w:t>
      </w:r>
      <w:r w:rsidR="005D274B">
        <w:rPr>
          <w:rStyle w:val="FootnoteReference"/>
        </w:rPr>
        <w:footnoteReference w:id="10"/>
      </w:r>
      <w:r w:rsidR="00F7627D">
        <w:t>,</w:t>
      </w:r>
      <w:r w:rsidR="005D274B">
        <w:t xml:space="preserve"> he </w:t>
      </w:r>
      <w:r w:rsidR="005B529D">
        <w:t>argue</w:t>
      </w:r>
      <w:r w:rsidR="003178E9">
        <w:t>d</w:t>
      </w:r>
      <w:r w:rsidR="005B529D">
        <w:t xml:space="preserve"> that the silence of a statute about the required standards of fairness is not a true impediment on the courts’ ability to determ</w:t>
      </w:r>
      <w:r w:rsidR="00F92559">
        <w:t>ine the proper applicable standards</w:t>
      </w:r>
      <w:r w:rsidR="00BF02DB">
        <w:t xml:space="preserve">. Rather, inferences drawn from the statutory scheme as a whole about the characteristics of the decision-maker and the framework under which he </w:t>
      </w:r>
      <w:proofErr w:type="spellStart"/>
      <w:r w:rsidR="00BF02DB">
        <w:t>operats</w:t>
      </w:r>
      <w:proofErr w:type="spellEnd"/>
      <w:r w:rsidR="00BF02DB">
        <w:t xml:space="preserve"> will colour the ultimate decision alongside o</w:t>
      </w:r>
      <w:r w:rsidR="00175C59">
        <w:t xml:space="preserve">ther common law considerations. </w:t>
      </w:r>
    </w:p>
    <w:p w:rsidR="00E73210" w:rsidRDefault="0053434B" w:rsidP="007D4FF3">
      <w:pPr>
        <w:pStyle w:val="NoSpacing"/>
        <w:spacing w:line="360" w:lineRule="auto"/>
        <w:ind w:firstLine="720"/>
      </w:pPr>
      <w:r>
        <w:t>Admittedly, this calls to attention the</w:t>
      </w:r>
      <w:r w:rsidR="002043FC">
        <w:t xml:space="preserve"> many useful</w:t>
      </w:r>
      <w:r>
        <w:t xml:space="preserve"> considerations which may arise from legislation that can affect the way in which the courts enforce their own common law principles, but its indirect nature seems to render it entirely tautologous. </w:t>
      </w:r>
      <w:r w:rsidR="00FB68B5">
        <w:t>What this is essentially saying is that t</w:t>
      </w:r>
      <w:r>
        <w:t>he court will give effect to inferences which it draws from legislation, and the inferences it draw from legislation are determined pursuant to the rule of law. At the crux of it, the courts are giving effect to their understanding of the rule of law, whatever th</w:t>
      </w:r>
      <w:r w:rsidR="001602FA">
        <w:t>at may be,</w:t>
      </w:r>
      <w:r w:rsidR="00732FB5">
        <w:rPr>
          <w:rStyle w:val="FootnoteReference"/>
        </w:rPr>
        <w:footnoteReference w:id="11"/>
      </w:r>
      <w:r w:rsidR="001602FA">
        <w:t xml:space="preserve"> with little guidance as to what it should and should be, </w:t>
      </w:r>
      <w:r w:rsidR="006158DE">
        <w:t>or even</w:t>
      </w:r>
      <w:r w:rsidR="001602FA">
        <w:t xml:space="preserve"> the factors which </w:t>
      </w:r>
      <w:r w:rsidR="007E3042">
        <w:t>should</w:t>
      </w:r>
      <w:r w:rsidR="001602FA">
        <w:t xml:space="preserve"> push or pull future developments. </w:t>
      </w:r>
      <w:r w:rsidR="00E93A33">
        <w:t>So, a</w:t>
      </w:r>
      <w:r w:rsidR="00E73210">
        <w:t xml:space="preserve">lthough the </w:t>
      </w:r>
      <w:r w:rsidR="00E73210">
        <w:rPr>
          <w:i/>
        </w:rPr>
        <w:t>ultra vires</w:t>
      </w:r>
      <w:r w:rsidR="00E73210">
        <w:t xml:space="preserve"> doctrine preserves sovereignty in the strict sense, the implied wide grant of judicial freedom</w:t>
      </w:r>
      <w:r w:rsidR="0062004C">
        <w:t xml:space="preserve"> to apply and develop the law of</w:t>
      </w:r>
      <w:r w:rsidR="00F46401">
        <w:t xml:space="preserve"> judicial </w:t>
      </w:r>
      <w:r w:rsidR="00F46401">
        <w:lastRenderedPageBreak/>
        <w:t>review as it sees fit</w:t>
      </w:r>
      <w:r w:rsidR="00E73210">
        <w:t xml:space="preserve"> not only reduces the significance of sovereignty itself, but also </w:t>
      </w:r>
      <w:r w:rsidR="009B7FD8">
        <w:t xml:space="preserve">avoids trying to articulate a more complex and meaningful relationship between sovereignty and the rule of law. Such a relationship will more likely be able to disclose </w:t>
      </w:r>
      <w:r w:rsidR="002B28AB">
        <w:t>the upper and lower limits</w:t>
      </w:r>
      <w:r w:rsidR="007B7076">
        <w:t xml:space="preserve"> of the principles of good administration,</w:t>
      </w:r>
      <w:r w:rsidR="007B7076">
        <w:rPr>
          <w:rStyle w:val="FootnoteReference"/>
        </w:rPr>
        <w:footnoteReference w:id="12"/>
      </w:r>
      <w:r w:rsidR="00063FC1">
        <w:t xml:space="preserve"> as opposed to relying heavily on the courts and the rule of law alone, with sovereign</w:t>
      </w:r>
      <w:r w:rsidR="009B0395">
        <w:t xml:space="preserve">ty taking a functional backseat. </w:t>
      </w:r>
    </w:p>
    <w:p w:rsidR="00396A03" w:rsidRDefault="007D4FF3" w:rsidP="00396A03">
      <w:pPr>
        <w:pStyle w:val="NoSpacing"/>
        <w:spacing w:line="360" w:lineRule="auto"/>
        <w:ind w:firstLine="720"/>
      </w:pPr>
      <w:r>
        <w:t xml:space="preserve">However, the difficulty with this criticism is that it leaves us with nothing to turn to as an appropriate alternative—for </w:t>
      </w:r>
      <w:r w:rsidR="00F7627D">
        <w:t>‘</w:t>
      </w:r>
      <w:r>
        <w:t xml:space="preserve">is not [the common law theorists’] reliance on such open-ended categories as ‘procedural impropriety’, ‘illegality’, and ‘irrationality’… not quite as futile and self-serving as the </w:t>
      </w:r>
      <w:r>
        <w:rPr>
          <w:i/>
        </w:rPr>
        <w:t>ultra vires</w:t>
      </w:r>
      <w:r>
        <w:t xml:space="preserve"> defenders’ invocation of legislative intent?”</w:t>
      </w:r>
      <w:r>
        <w:rPr>
          <w:rStyle w:val="FootnoteReference"/>
        </w:rPr>
        <w:footnoteReference w:id="13"/>
      </w:r>
      <w:r>
        <w:t xml:space="preserve"> Most common law theorists (regardless of where on the scale of common law theory they fall) recognise that many (if not most) of these common law principles of good administration are based in the rule of law. </w:t>
      </w:r>
      <w:r w:rsidR="004508D1">
        <w:t xml:space="preserve">And although </w:t>
      </w:r>
      <w:r w:rsidR="00BC79B1">
        <w:t>almost everyone will</w:t>
      </w:r>
      <w:r w:rsidR="004508D1">
        <w:t xml:space="preserve"> agree that it is a constitutional fundamental, few can agree on its nature—whether merely formal or substantive—or even if assumed to be substantive, on its exact content</w:t>
      </w:r>
      <w:r w:rsidR="000B18E0">
        <w:t xml:space="preserve"> and scope</w:t>
      </w:r>
      <w:r w:rsidR="004508D1">
        <w:t>.</w:t>
      </w:r>
      <w:r w:rsidR="004508D1">
        <w:rPr>
          <w:rStyle w:val="FootnoteReference"/>
        </w:rPr>
        <w:footnoteReference w:id="14"/>
      </w:r>
      <w:r w:rsidR="0084472E">
        <w:t xml:space="preserve"> So yet again we run into the same problem </w:t>
      </w:r>
      <w:r w:rsidR="0084472E">
        <w:rPr>
          <w:i/>
        </w:rPr>
        <w:t>ultra vires</w:t>
      </w:r>
      <w:r w:rsidR="00372E41">
        <w:t xml:space="preserve"> faces;</w:t>
      </w:r>
      <w:r w:rsidR="0084472E">
        <w:t xml:space="preserve"> an over-reliance on the indeterminate content of one doctrine to inform the </w:t>
      </w:r>
      <w:r w:rsidR="00A4066E">
        <w:t xml:space="preserve">also </w:t>
      </w:r>
      <w:r w:rsidR="001669E9">
        <w:t>indeterminate</w:t>
      </w:r>
      <w:r w:rsidR="00A4066E">
        <w:t xml:space="preserve"> </w:t>
      </w:r>
      <w:r w:rsidR="0084472E">
        <w:t xml:space="preserve">scope of judicial review, which tends to result in the ‘rule of law’ being used as conclusory label following </w:t>
      </w:r>
      <w:r w:rsidR="00E04E40">
        <w:t>wide inquiries conducted based on what the individual court thinks is necessary in the interest of g</w:t>
      </w:r>
      <w:r w:rsidR="00F7627D">
        <w:t>ood administration in that case</w:t>
      </w:r>
      <w:r w:rsidR="00965A44">
        <w:rPr>
          <w:rStyle w:val="FootnoteReference"/>
        </w:rPr>
        <w:footnoteReference w:id="15"/>
      </w:r>
      <w:r w:rsidR="00E04E40">
        <w:t xml:space="preserve"> </w:t>
      </w:r>
      <w:r w:rsidR="00F7627D">
        <w:t>.</w:t>
      </w:r>
    </w:p>
    <w:p w:rsidR="00E056EA" w:rsidRDefault="00035A1E" w:rsidP="00F7627D">
      <w:pPr>
        <w:pStyle w:val="NoSpacing"/>
        <w:spacing w:line="360" w:lineRule="auto"/>
        <w:ind w:firstLine="567"/>
      </w:pPr>
      <w:r>
        <w:lastRenderedPageBreak/>
        <w:t>Whether we think this type of flexibility is undesirable or not largely depends on the faith one has the judicial system as a whole to correct individual mistakes judges may m</w:t>
      </w:r>
      <w:r w:rsidR="00E620D2">
        <w:t>ake in specific instances. And e</w:t>
      </w:r>
      <w:r>
        <w:t>ven if clearer guiding principles are developed, arguably erroneous or inconsistent decisions will continue to be made</w:t>
      </w:r>
      <w:r w:rsidR="00E620D2">
        <w:t>. So what is the point</w:t>
      </w:r>
      <w:r w:rsidR="00874960">
        <w:t xml:space="preserve"> of </w:t>
      </w:r>
      <w:r w:rsidR="006A1803">
        <w:t>trying to deal with these issues</w:t>
      </w:r>
      <w:r w:rsidR="00E620D2">
        <w:t xml:space="preserve">? </w:t>
      </w:r>
      <w:r w:rsidR="0081286C">
        <w:t>There is no perfect system; t</w:t>
      </w:r>
      <w:r w:rsidR="00E620D2">
        <w:t xml:space="preserve">he point is to strive for clarity in our view of the law beyond theoretical tidiness—to be able to </w:t>
      </w:r>
      <w:r w:rsidR="002606DA" w:rsidRPr="004E0252">
        <w:rPr>
          <w:i/>
        </w:rPr>
        <w:t>identify</w:t>
      </w:r>
      <w:r w:rsidR="002606DA">
        <w:t xml:space="preserve">, </w:t>
      </w:r>
      <w:r w:rsidR="00E620D2" w:rsidRPr="001669E9">
        <w:rPr>
          <w:i/>
        </w:rPr>
        <w:t>organise</w:t>
      </w:r>
      <w:r w:rsidR="002606DA">
        <w:t>,</w:t>
      </w:r>
      <w:r w:rsidR="00E620D2">
        <w:t xml:space="preserve"> and </w:t>
      </w:r>
      <w:r w:rsidR="00E620D2" w:rsidRPr="001669E9">
        <w:rPr>
          <w:i/>
        </w:rPr>
        <w:t>prioritis</w:t>
      </w:r>
      <w:r w:rsidR="00E620D2" w:rsidRPr="00F7627D">
        <w:t>e</w:t>
      </w:r>
      <w:r w:rsidR="00E620D2">
        <w:t xml:space="preserve"> considerations of written law, extrinsic princip</w:t>
      </w:r>
      <w:r w:rsidR="00765241">
        <w:t xml:space="preserve">les, policies, </w:t>
      </w:r>
      <w:r w:rsidR="004103E4">
        <w:t xml:space="preserve">pragmatism, as well as </w:t>
      </w:r>
      <w:r w:rsidR="007875F4">
        <w:t>existing</w:t>
      </w:r>
      <w:r w:rsidR="004103E4">
        <w:t xml:space="preserve"> and </w:t>
      </w:r>
      <w:r w:rsidR="00CF0F3E">
        <w:t>evolving</w:t>
      </w:r>
      <w:r w:rsidR="004103E4">
        <w:t xml:space="preserve"> norms. </w:t>
      </w:r>
      <w:r w:rsidR="0057777D">
        <w:t>Therefore</w:t>
      </w:r>
      <w:r w:rsidR="007E0131">
        <w:t>,</w:t>
      </w:r>
      <w:r w:rsidR="007E0131" w:rsidRPr="007E0131">
        <w:t xml:space="preserve"> </w:t>
      </w:r>
      <w:r w:rsidR="007E0131">
        <w:t>despite being at risk of contributing to Forsyth’s frustration</w:t>
      </w:r>
      <w:r w:rsidR="00612CE1">
        <w:t>, it seems necessary to re-examine</w:t>
      </w:r>
      <w:r w:rsidR="007E0131">
        <w:t xml:space="preserve"> these parts of the ‘constitutional foundations’ debate. </w:t>
      </w:r>
      <w:proofErr w:type="gramStart"/>
      <w:r w:rsidR="007E0131">
        <w:t>Part</w:t>
      </w:r>
      <w:r w:rsidR="00F7627D">
        <w:t xml:space="preserve"> </w:t>
      </w:r>
      <w:r w:rsidR="007E0131">
        <w:t xml:space="preserve"> I</w:t>
      </w:r>
      <w:proofErr w:type="gramEnd"/>
      <w:r w:rsidR="007E0131" w:rsidRPr="007E0131">
        <w:t xml:space="preserve"> </w:t>
      </w:r>
      <w:r w:rsidR="007E0131">
        <w:t xml:space="preserve">will </w:t>
      </w:r>
      <w:r w:rsidR="005A7393">
        <w:t xml:space="preserve">examine </w:t>
      </w:r>
      <w:r w:rsidR="007E0131">
        <w:t xml:space="preserve">the deficiencies of various conceptions of parliamentary sovereignty, the rule of law, and their relationship. </w:t>
      </w:r>
      <w:r w:rsidR="00E056EA">
        <w:t xml:space="preserve">Part II will propose an alternative mode of thinking about the relationship between the Parliament and the courts outside sovereignty and the rule of law. This will be applied to specific grounds of judicial review to demonstrate some analytical utility. </w:t>
      </w:r>
      <w:r w:rsidR="00F7627D">
        <w:t>Hopefully</w:t>
      </w:r>
      <w:r w:rsidR="005A7393">
        <w:t xml:space="preserve"> this </w:t>
      </w:r>
      <w:r w:rsidR="00E056EA">
        <w:t xml:space="preserve">framework </w:t>
      </w:r>
      <w:r w:rsidR="005A7393">
        <w:t>will</w:t>
      </w:r>
      <w:r w:rsidR="00E056EA">
        <w:t xml:space="preserve"> </w:t>
      </w:r>
      <w:r w:rsidR="005A7393">
        <w:t xml:space="preserve">be useful for </w:t>
      </w:r>
      <w:r w:rsidR="00E056EA">
        <w:t>further and close</w:t>
      </w:r>
      <w:r w:rsidR="005A7393">
        <w:t>r</w:t>
      </w:r>
      <w:r w:rsidR="00E056EA">
        <w:t xml:space="preserve"> analyses of individual principles of judicial review to not only make sense of, but predict how the law will and should develop. </w:t>
      </w:r>
    </w:p>
    <w:p w:rsidR="00482FE3" w:rsidRDefault="00482FE3" w:rsidP="00E056EA">
      <w:pPr>
        <w:pStyle w:val="NoSpacing"/>
        <w:spacing w:line="360" w:lineRule="auto"/>
        <w:ind w:firstLine="720"/>
      </w:pPr>
    </w:p>
    <w:p w:rsidR="008D610D" w:rsidRDefault="008D610D" w:rsidP="008D610D">
      <w:pPr>
        <w:pStyle w:val="NoSpacing"/>
        <w:tabs>
          <w:tab w:val="left" w:pos="567"/>
        </w:tabs>
        <w:spacing w:line="360" w:lineRule="auto"/>
        <w:jc w:val="center"/>
      </w:pPr>
      <w:r>
        <w:rPr>
          <w:b/>
        </w:rPr>
        <w:t>II.</w:t>
      </w:r>
      <w:r>
        <w:rPr>
          <w:b/>
        </w:rPr>
        <w:tab/>
        <w:t>SOVEREIGNTY AND THE RULE OF LAW</w:t>
      </w:r>
    </w:p>
    <w:p w:rsidR="008B3094" w:rsidRDefault="008B3094" w:rsidP="008B3094">
      <w:pPr>
        <w:pStyle w:val="NoSpacing"/>
        <w:tabs>
          <w:tab w:val="left" w:pos="567"/>
        </w:tabs>
        <w:spacing w:line="360" w:lineRule="auto"/>
      </w:pPr>
      <w:r>
        <w:t>This will not be a lengthy exposition on everything ever written on parliamentary sovereignty or the rule of law. Instead, the discuss</w:t>
      </w:r>
      <w:r w:rsidR="006017DA">
        <w:t>ion</w:t>
      </w:r>
      <w:r>
        <w:t xml:space="preserve"> here will focus on how the different sides of the ‘constitutional foundations’ debate, in seeking to maintain orthodoxy, have adopted conceptions of sovereignty which force them to turn to the rule of law to explain the practical conduct of judicial review. This runs into considerable uncertainty given the indeterminate nature of the rule of law. And even if we </w:t>
      </w:r>
      <w:r w:rsidR="00A33CE9">
        <w:t>super</w:t>
      </w:r>
      <w:r>
        <w:t>impose determinacy upon it, it embodiment of mostly general principles, values, and ideals</w:t>
      </w:r>
      <w:r w:rsidR="00811366">
        <w:t xml:space="preserve"> still leaves us without a definitive explanation about the </w:t>
      </w:r>
      <w:r w:rsidRPr="00F400A6">
        <w:rPr>
          <w:i/>
        </w:rPr>
        <w:t>scop</w:t>
      </w:r>
      <w:r w:rsidRPr="00F7627D">
        <w:t>e</w:t>
      </w:r>
      <w:r>
        <w:t xml:space="preserve"> of </w:t>
      </w:r>
      <w:r w:rsidR="00F400A6">
        <w:t xml:space="preserve">its </w:t>
      </w:r>
      <w:r>
        <w:t xml:space="preserve">application. </w:t>
      </w:r>
    </w:p>
    <w:p w:rsidR="000A42F0" w:rsidRDefault="00FD3C0F" w:rsidP="00445190">
      <w:pPr>
        <w:pStyle w:val="NoSpacing"/>
        <w:spacing w:line="360" w:lineRule="auto"/>
      </w:pPr>
      <w:r>
        <w:tab/>
      </w:r>
      <w:r w:rsidR="00271C17">
        <w:t xml:space="preserve">The starting point for this part of the discussion is the nature of </w:t>
      </w:r>
      <w:proofErr w:type="spellStart"/>
      <w:r w:rsidR="00271C17">
        <w:t>sovereign</w:t>
      </w:r>
      <w:r w:rsidR="00F7627D">
        <w:t>i</w:t>
      </w:r>
      <w:r w:rsidR="00271C17">
        <w:t>ty</w:t>
      </w:r>
      <w:proofErr w:type="spellEnd"/>
      <w:r w:rsidR="00271C17">
        <w:t xml:space="preserve">. </w:t>
      </w:r>
      <w:r w:rsidR="00D642FD">
        <w:t xml:space="preserve">Most of the debate fails to engage with, as Allan pointed out some two years after the Cambridge Conference on the Foundations of Judicial Review, </w:t>
      </w:r>
      <w:r w:rsidR="006C2871">
        <w:t xml:space="preserve">not only </w:t>
      </w:r>
      <w:r w:rsidR="00D642FD">
        <w:t>the antecedent question of whether Parliament is actually sovereign, but even if we accept that it is, what exactly we</w:t>
      </w:r>
      <w:r w:rsidR="006C2871">
        <w:t xml:space="preserve"> mean by “sovereign</w:t>
      </w:r>
      <w:r w:rsidR="00D642FD">
        <w:t>”.</w:t>
      </w:r>
      <w:r w:rsidR="00D642FD">
        <w:rPr>
          <w:rStyle w:val="FootnoteReference"/>
        </w:rPr>
        <w:footnoteReference w:id="16"/>
      </w:r>
      <w:r w:rsidR="00D642FD">
        <w:t xml:space="preserve"> </w:t>
      </w:r>
      <w:r w:rsidR="008957FE">
        <w:t xml:space="preserve">If we pause and ask ourselves these questions, it seems more </w:t>
      </w:r>
      <w:r w:rsidR="00A33CE9">
        <w:t xml:space="preserve">obvious why the </w:t>
      </w:r>
      <w:r w:rsidR="00A33CE9">
        <w:lastRenderedPageBreak/>
        <w:t>early</w:t>
      </w:r>
      <w:r w:rsidR="008957FE">
        <w:t xml:space="preserve"> criticisms </w:t>
      </w:r>
      <w:r w:rsidR="001F75E5">
        <w:t xml:space="preserve">of </w:t>
      </w:r>
      <w:r w:rsidR="001F75E5">
        <w:rPr>
          <w:i/>
        </w:rPr>
        <w:t>ultra vires</w:t>
      </w:r>
      <w:r w:rsidR="001F75E5">
        <w:t xml:space="preserve"> delivered </w:t>
      </w:r>
      <w:r w:rsidR="00A33CE9">
        <w:t>by</w:t>
      </w:r>
      <w:r w:rsidR="008957FE">
        <w:t xml:space="preserve"> </w:t>
      </w:r>
      <w:r w:rsidR="001F75E5">
        <w:t>its</w:t>
      </w:r>
      <w:r w:rsidR="008957FE">
        <w:t xml:space="preserve"> staunchest opponents</w:t>
      </w:r>
      <w:r w:rsidR="008957FE">
        <w:rPr>
          <w:rStyle w:val="FootnoteReference"/>
        </w:rPr>
        <w:footnoteReference w:id="17"/>
      </w:r>
      <w:r w:rsidR="001F75E5">
        <w:t xml:space="preserve"> managed to possess both an undeniable logical appeal, while still appearing to misconstrue the point of the doctrine. They were quite simply working from different starting points</w:t>
      </w:r>
      <w:r w:rsidR="006F0EF4">
        <w:t>.</w:t>
      </w:r>
      <w:r w:rsidR="001F75E5">
        <w:t xml:space="preserve"> </w:t>
      </w:r>
    </w:p>
    <w:p w:rsidR="00386B86" w:rsidRDefault="00386B86" w:rsidP="00386B86">
      <w:pPr>
        <w:pStyle w:val="NoSpacing"/>
        <w:spacing w:line="360" w:lineRule="auto"/>
        <w:ind w:firstLine="720"/>
      </w:pPr>
      <w:r>
        <w:t xml:space="preserve">The </w:t>
      </w:r>
      <w:r w:rsidRPr="00F7627D">
        <w:t>ultra vires</w:t>
      </w:r>
      <w:r>
        <w:t xml:space="preserve"> </w:t>
      </w:r>
      <w:proofErr w:type="gramStart"/>
      <w:r>
        <w:t>theorists</w:t>
      </w:r>
      <w:proofErr w:type="gramEnd"/>
      <w:r>
        <w:t xml:space="preserve"> concepti</w:t>
      </w:r>
      <w:r w:rsidR="0053155C">
        <w:t xml:space="preserve">on of parliamentary sovereignty </w:t>
      </w:r>
      <w:r w:rsidR="00C24EC1">
        <w:t>is such</w:t>
      </w:r>
      <w:r>
        <w:t xml:space="preserve"> that when Parliament grants public powers, it does so with definitive limits which the common law cannot legitimately supplement even if there is no express preclusion of the application of </w:t>
      </w:r>
      <w:r w:rsidR="006F0EF4">
        <w:t>the</w:t>
      </w:r>
      <w:r>
        <w:t xml:space="preserve"> common law.</w:t>
      </w:r>
      <w:r>
        <w:rPr>
          <w:rStyle w:val="FootnoteReference"/>
        </w:rPr>
        <w:footnoteReference w:id="18"/>
      </w:r>
      <w:r>
        <w:t xml:space="preserve"> </w:t>
      </w:r>
      <w:r w:rsidR="0053155C">
        <w:t>If sovereignty were to be defined more widely</w:t>
      </w:r>
      <w:r w:rsidR="0085717A">
        <w:t xml:space="preserve"> than this</w:t>
      </w:r>
      <w:r w:rsidR="0053155C">
        <w:t xml:space="preserve">, it would beg the question whether </w:t>
      </w:r>
      <w:r w:rsidR="0053155C">
        <w:rPr>
          <w:i/>
        </w:rPr>
        <w:t>ultra vires</w:t>
      </w:r>
      <w:r w:rsidR="0053155C">
        <w:t xml:space="preserve"> is even necessary to preserve doctrinal orthodoxy. Allan’s conception of sovereignty mirrors this</w:t>
      </w:r>
      <w:r w:rsidR="00F7627D">
        <w:t xml:space="preserve"> </w:t>
      </w:r>
      <w:r w:rsidR="0053155C">
        <w:t>—for him, sovereignty must be absolute; if not, there would be no need to speak in terms of ‘sovereignty’ at all. He argues that “</w:t>
      </w:r>
      <w:r w:rsidR="00F7627D">
        <w:t>[t]</w:t>
      </w:r>
      <w:r w:rsidR="0053155C">
        <w:t xml:space="preserve">he idea of absolute legislative power is ultimately plausible only on the assumption that enactments can </w:t>
      </w:r>
      <w:proofErr w:type="gramStart"/>
      <w:r w:rsidR="0053155C">
        <w:t>(</w:t>
      </w:r>
      <w:r w:rsidR="00F7627D">
        <w:t xml:space="preserve"> </w:t>
      </w:r>
      <w:r w:rsidR="0053155C">
        <w:t>or</w:t>
      </w:r>
      <w:proofErr w:type="gramEnd"/>
      <w:r w:rsidR="0053155C">
        <w:t xml:space="preserve"> should) be ‘literally’</w:t>
      </w:r>
      <w:r w:rsidR="0053155C" w:rsidRPr="00E57177">
        <w:t xml:space="preserve"> </w:t>
      </w:r>
      <w:r w:rsidR="0053155C">
        <w:t>applied, without interpretation—abstracted from the controlling influence</w:t>
      </w:r>
      <w:r w:rsidR="0053155C" w:rsidRPr="00E57177">
        <w:t xml:space="preserve"> of transcendent constitutional values.</w:t>
      </w:r>
      <w:r w:rsidR="0053155C">
        <w:t>”</w:t>
      </w:r>
      <w:r w:rsidR="0053155C">
        <w:rPr>
          <w:rStyle w:val="FootnoteReference"/>
        </w:rPr>
        <w:footnoteReference w:id="19"/>
      </w:r>
      <w:r w:rsidR="0053155C">
        <w:t xml:space="preserve"> </w:t>
      </w:r>
      <w:r w:rsidR="00C33A1B">
        <w:t xml:space="preserve">We will refer to this as the ‘strong view’ of sovereignty. </w:t>
      </w:r>
      <w:r w:rsidR="006F0EF4">
        <w:t>The trouble with</w:t>
      </w:r>
      <w:r w:rsidR="00696997">
        <w:t xml:space="preserve"> this view </w:t>
      </w:r>
      <w:r w:rsidR="00A73CF4">
        <w:t>is two</w:t>
      </w:r>
      <w:r w:rsidR="005325E0">
        <w:t xml:space="preserve">fold: (a) it seems to </w:t>
      </w:r>
      <w:r w:rsidR="0024372E">
        <w:t>take the</w:t>
      </w:r>
      <w:r w:rsidR="005325E0">
        <w:t xml:space="preserve"> </w:t>
      </w:r>
      <w:proofErr w:type="spellStart"/>
      <w:r w:rsidR="005325E0">
        <w:t>Diceyan</w:t>
      </w:r>
      <w:proofErr w:type="spellEnd"/>
      <w:r w:rsidR="005325E0">
        <w:t xml:space="preserve"> definition of sovere</w:t>
      </w:r>
      <w:r w:rsidR="001B7F7F">
        <w:t xml:space="preserve">ignty </w:t>
      </w:r>
      <w:r w:rsidR="0024372E">
        <w:t>to the extreme</w:t>
      </w:r>
      <w:r w:rsidR="001B7F7F">
        <w:t>;</w:t>
      </w:r>
      <w:r w:rsidR="005325E0">
        <w:rPr>
          <w:rStyle w:val="FootnoteReference"/>
        </w:rPr>
        <w:footnoteReference w:id="20"/>
      </w:r>
      <w:r w:rsidR="001B7F7F">
        <w:t xml:space="preserve"> and</w:t>
      </w:r>
      <w:r w:rsidR="00A73CF4">
        <w:t xml:space="preserve"> (</w:t>
      </w:r>
      <w:r w:rsidR="00F7627D">
        <w:t>a</w:t>
      </w:r>
      <w:r w:rsidR="00A73CF4">
        <w:t xml:space="preserve">) by placing sovereignty on a theoretical pedestal, it is challenging to account for and prioritise considerations outside of parliamentary intention and the abstract rule of law. </w:t>
      </w:r>
    </w:p>
    <w:p w:rsidR="00F7627D" w:rsidRDefault="00F7627D" w:rsidP="00F7627D">
      <w:pPr>
        <w:pStyle w:val="NoSpacing"/>
        <w:tabs>
          <w:tab w:val="left" w:pos="567"/>
        </w:tabs>
        <w:spacing w:line="360" w:lineRule="auto"/>
      </w:pPr>
    </w:p>
    <w:p w:rsidR="00F7627D" w:rsidRDefault="00F7627D" w:rsidP="00F7627D">
      <w:pPr>
        <w:pStyle w:val="NoSpacing"/>
        <w:tabs>
          <w:tab w:val="left" w:pos="567"/>
        </w:tabs>
        <w:spacing w:line="360" w:lineRule="auto"/>
      </w:pPr>
      <w:r>
        <w:t>…</w:t>
      </w:r>
    </w:p>
    <w:p w:rsidR="00CF7EC4" w:rsidRPr="008B1EDB" w:rsidRDefault="00CF7EC4" w:rsidP="00F7627D">
      <w:pPr>
        <w:pStyle w:val="NoSpacing"/>
        <w:tabs>
          <w:tab w:val="left" w:pos="567"/>
        </w:tabs>
        <w:spacing w:line="360" w:lineRule="auto"/>
      </w:pPr>
      <w:r>
        <w:t xml:space="preserve"> </w:t>
      </w:r>
      <w:bookmarkStart w:id="0" w:name="_GoBack"/>
      <w:bookmarkEnd w:id="0"/>
    </w:p>
    <w:sectPr w:rsidR="00CF7EC4" w:rsidRPr="008B1EDB" w:rsidSect="00E2455F">
      <w:headerReference w:type="default" r:id="rId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53E" w:rsidRDefault="0093553E" w:rsidP="00E2455F">
      <w:r>
        <w:separator/>
      </w:r>
    </w:p>
  </w:endnote>
  <w:endnote w:type="continuationSeparator" w:id="0">
    <w:p w:rsidR="0093553E" w:rsidRDefault="0093553E" w:rsidP="00E2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53E" w:rsidRDefault="0093553E" w:rsidP="00E2455F">
      <w:r>
        <w:separator/>
      </w:r>
    </w:p>
  </w:footnote>
  <w:footnote w:type="continuationSeparator" w:id="0">
    <w:p w:rsidR="0093553E" w:rsidRDefault="0093553E" w:rsidP="00E2455F">
      <w:r>
        <w:continuationSeparator/>
      </w:r>
    </w:p>
  </w:footnote>
  <w:footnote w:id="1">
    <w:p w:rsidR="0093553E" w:rsidRPr="003C6CD7" w:rsidRDefault="0093553E" w:rsidP="003C6CD7">
      <w:pPr>
        <w:pStyle w:val="FootnoteText"/>
        <w:spacing w:line="360" w:lineRule="auto"/>
        <w:rPr>
          <w:rFonts w:cs="Times New Roman"/>
          <w:sz w:val="18"/>
          <w:szCs w:val="18"/>
        </w:rPr>
      </w:pPr>
      <w:r w:rsidRPr="003C6CD7">
        <w:rPr>
          <w:rStyle w:val="FootnoteReference"/>
          <w:rFonts w:cs="Times New Roman"/>
          <w:sz w:val="18"/>
          <w:szCs w:val="18"/>
        </w:rPr>
        <w:footnoteRef/>
      </w:r>
      <w:r w:rsidRPr="003C6CD7">
        <w:rPr>
          <w:rFonts w:cs="Times New Roman"/>
          <w:sz w:val="18"/>
          <w:szCs w:val="18"/>
        </w:rPr>
        <w:t xml:space="preserve"> Christopher Forsyth (</w:t>
      </w:r>
      <w:proofErr w:type="spellStart"/>
      <w:r w:rsidRPr="003C6CD7">
        <w:rPr>
          <w:rFonts w:cs="Times New Roman"/>
          <w:sz w:val="18"/>
          <w:szCs w:val="18"/>
        </w:rPr>
        <w:t>ed</w:t>
      </w:r>
      <w:proofErr w:type="spellEnd"/>
      <w:r w:rsidRPr="003C6CD7">
        <w:rPr>
          <w:rFonts w:cs="Times New Roman"/>
          <w:sz w:val="18"/>
          <w:szCs w:val="18"/>
        </w:rPr>
        <w:t xml:space="preserve">), </w:t>
      </w:r>
      <w:r w:rsidRPr="003C6CD7">
        <w:rPr>
          <w:rFonts w:cs="Times New Roman"/>
          <w:i/>
          <w:sz w:val="18"/>
          <w:szCs w:val="18"/>
        </w:rPr>
        <w:t>Judicial Review and the Constitution</w:t>
      </w:r>
      <w:r w:rsidRPr="003C6CD7">
        <w:rPr>
          <w:rFonts w:cs="Times New Roman"/>
          <w:sz w:val="18"/>
          <w:szCs w:val="18"/>
        </w:rPr>
        <w:t xml:space="preserve"> (Hart 2000) </w:t>
      </w:r>
    </w:p>
  </w:footnote>
  <w:footnote w:id="2">
    <w:p w:rsidR="0093553E" w:rsidRPr="003C6CD7" w:rsidRDefault="0093553E" w:rsidP="003C6CD7">
      <w:pPr>
        <w:pStyle w:val="FootnoteText"/>
        <w:spacing w:line="360" w:lineRule="auto"/>
        <w:rPr>
          <w:rFonts w:cs="Times New Roman"/>
          <w:sz w:val="18"/>
          <w:szCs w:val="18"/>
        </w:rPr>
      </w:pPr>
      <w:r w:rsidRPr="003C6CD7">
        <w:rPr>
          <w:rStyle w:val="FootnoteReference"/>
          <w:rFonts w:cs="Times New Roman"/>
          <w:sz w:val="18"/>
          <w:szCs w:val="18"/>
        </w:rPr>
        <w:footnoteRef/>
      </w:r>
      <w:r w:rsidRPr="003C6CD7">
        <w:rPr>
          <w:rFonts w:cs="Times New Roman"/>
          <w:sz w:val="18"/>
          <w:szCs w:val="18"/>
        </w:rPr>
        <w:t xml:space="preserve"> ibid, Christopher Forsyth, ‘Heat and Light: A Plea for Reconciliation’ 393</w:t>
      </w:r>
    </w:p>
  </w:footnote>
  <w:footnote w:id="3">
    <w:p w:rsidR="0093553E" w:rsidRPr="003C6CD7" w:rsidRDefault="0093553E" w:rsidP="003C6CD7">
      <w:pPr>
        <w:pStyle w:val="FootnoteText"/>
        <w:spacing w:line="360" w:lineRule="auto"/>
        <w:rPr>
          <w:rFonts w:cs="Times New Roman"/>
          <w:sz w:val="18"/>
          <w:szCs w:val="18"/>
        </w:rPr>
      </w:pPr>
      <w:r w:rsidRPr="003C6CD7">
        <w:rPr>
          <w:rStyle w:val="FootnoteReference"/>
          <w:rFonts w:cs="Times New Roman"/>
          <w:sz w:val="18"/>
          <w:szCs w:val="18"/>
        </w:rPr>
        <w:footnoteRef/>
      </w:r>
      <w:r w:rsidRPr="003C6CD7">
        <w:rPr>
          <w:rFonts w:cs="Times New Roman"/>
          <w:sz w:val="18"/>
          <w:szCs w:val="18"/>
        </w:rPr>
        <w:t xml:space="preserve"> Especially in Mark Elliott, ‘The Ultra Vires Doctrine in a Constitutional Setting: Still the Central Principle of Administrative Law’ [1998] CLJ 129 (also included in op </w:t>
      </w:r>
      <w:proofErr w:type="spellStart"/>
      <w:r w:rsidRPr="003C6CD7">
        <w:rPr>
          <w:rFonts w:cs="Times New Roman"/>
          <w:sz w:val="18"/>
          <w:szCs w:val="18"/>
        </w:rPr>
        <w:t>cit</w:t>
      </w:r>
      <w:proofErr w:type="spellEnd"/>
      <w:r w:rsidRPr="003C6CD7">
        <w:rPr>
          <w:rFonts w:cs="Times New Roman"/>
          <w:sz w:val="18"/>
          <w:szCs w:val="18"/>
        </w:rPr>
        <w:t xml:space="preserve"> n1, </w:t>
      </w:r>
      <w:proofErr w:type="spellStart"/>
      <w:r w:rsidRPr="003C6CD7">
        <w:rPr>
          <w:rFonts w:cs="Times New Roman"/>
          <w:sz w:val="18"/>
          <w:szCs w:val="18"/>
        </w:rPr>
        <w:t>ch</w:t>
      </w:r>
      <w:proofErr w:type="spellEnd"/>
      <w:r w:rsidRPr="003C6CD7">
        <w:rPr>
          <w:rFonts w:cs="Times New Roman"/>
          <w:sz w:val="18"/>
          <w:szCs w:val="18"/>
        </w:rPr>
        <w:t xml:space="preserve"> 5); and in op </w:t>
      </w:r>
      <w:proofErr w:type="spellStart"/>
      <w:r w:rsidRPr="003C6CD7">
        <w:rPr>
          <w:rFonts w:cs="Times New Roman"/>
          <w:sz w:val="18"/>
          <w:szCs w:val="18"/>
        </w:rPr>
        <w:t>cit</w:t>
      </w:r>
      <w:proofErr w:type="spellEnd"/>
      <w:r w:rsidRPr="003C6CD7">
        <w:rPr>
          <w:rFonts w:cs="Times New Roman"/>
          <w:sz w:val="18"/>
          <w:szCs w:val="18"/>
        </w:rPr>
        <w:t xml:space="preserve"> n1, Mark Elliott, ‘Legislative Intention Versus Judicial Creativity? Administrative Law as a Co-operative Endeavour’</w:t>
      </w:r>
    </w:p>
  </w:footnote>
  <w:footnote w:id="4">
    <w:p w:rsidR="0093553E" w:rsidRPr="003C6CD7" w:rsidRDefault="0093553E" w:rsidP="003C6CD7">
      <w:pPr>
        <w:pStyle w:val="FootnoteText"/>
        <w:spacing w:line="360" w:lineRule="auto"/>
        <w:rPr>
          <w:rFonts w:cs="Times New Roman"/>
          <w:sz w:val="18"/>
          <w:szCs w:val="18"/>
        </w:rPr>
      </w:pPr>
      <w:r w:rsidRPr="003C6CD7">
        <w:rPr>
          <w:rStyle w:val="FootnoteReference"/>
          <w:rFonts w:cs="Times New Roman"/>
          <w:sz w:val="18"/>
          <w:szCs w:val="18"/>
        </w:rPr>
        <w:footnoteRef/>
      </w:r>
      <w:r w:rsidRPr="003C6CD7">
        <w:rPr>
          <w:rFonts w:cs="Times New Roman"/>
          <w:sz w:val="18"/>
          <w:szCs w:val="18"/>
        </w:rPr>
        <w:t xml:space="preserve"> op </w:t>
      </w:r>
      <w:proofErr w:type="spellStart"/>
      <w:r w:rsidRPr="003C6CD7">
        <w:rPr>
          <w:rFonts w:cs="Times New Roman"/>
          <w:sz w:val="18"/>
          <w:szCs w:val="18"/>
        </w:rPr>
        <w:t>cit</w:t>
      </w:r>
      <w:proofErr w:type="spellEnd"/>
      <w:r w:rsidRPr="003C6CD7">
        <w:rPr>
          <w:rFonts w:cs="Times New Roman"/>
          <w:sz w:val="18"/>
          <w:szCs w:val="18"/>
        </w:rPr>
        <w:t xml:space="preserve"> n2, 394, he makes the same point in his earlier article as well, see Christopher Forsyth, ‘Of Fig Leaves and Fairy Tales: The </w:t>
      </w:r>
      <w:r w:rsidRPr="003C6CD7">
        <w:rPr>
          <w:rFonts w:cs="Times New Roman"/>
          <w:i/>
          <w:sz w:val="18"/>
          <w:szCs w:val="18"/>
        </w:rPr>
        <w:t>Ultra Vires</w:t>
      </w:r>
      <w:r w:rsidRPr="003C6CD7">
        <w:rPr>
          <w:rFonts w:cs="Times New Roman"/>
          <w:sz w:val="18"/>
          <w:szCs w:val="18"/>
        </w:rPr>
        <w:t xml:space="preserve"> Doctrine, the Sovereignty of Parliament and Judicial Review [1994] CLJ 122, 133 </w:t>
      </w:r>
    </w:p>
  </w:footnote>
  <w:footnote w:id="5">
    <w:p w:rsidR="0093553E" w:rsidRPr="003C6CD7" w:rsidRDefault="0093553E" w:rsidP="003C6CD7">
      <w:pPr>
        <w:pStyle w:val="FootnoteText"/>
        <w:spacing w:line="360" w:lineRule="auto"/>
        <w:rPr>
          <w:rFonts w:cs="Times New Roman"/>
          <w:sz w:val="18"/>
          <w:szCs w:val="18"/>
        </w:rPr>
      </w:pPr>
      <w:r w:rsidRPr="003C6CD7">
        <w:rPr>
          <w:rStyle w:val="FootnoteReference"/>
          <w:rFonts w:cs="Times New Roman"/>
          <w:sz w:val="18"/>
          <w:szCs w:val="18"/>
        </w:rPr>
        <w:footnoteRef/>
      </w:r>
      <w:r w:rsidRPr="003C6CD7">
        <w:rPr>
          <w:rFonts w:cs="Times New Roman"/>
          <w:sz w:val="18"/>
          <w:szCs w:val="18"/>
        </w:rPr>
        <w:t xml:space="preserve"> See generally: Trevor R. S. Allan, </w:t>
      </w:r>
      <w:r w:rsidRPr="003C6CD7">
        <w:rPr>
          <w:rFonts w:cs="Times New Roman"/>
          <w:i/>
          <w:sz w:val="18"/>
          <w:szCs w:val="18"/>
        </w:rPr>
        <w:t>Constitutional Justice, A Liberal Theory of the Rule of Law</w:t>
      </w:r>
      <w:r w:rsidRPr="003C6CD7">
        <w:rPr>
          <w:rFonts w:cs="Times New Roman"/>
          <w:sz w:val="18"/>
          <w:szCs w:val="18"/>
        </w:rPr>
        <w:t xml:space="preserve"> (OUP 2001); and Trevor R. S. Allan, ‘The Constitutional Foundations of Judicial Review: Conceptual Conundrum or Interpretive Inquiry’ [2002] CLJ 87</w:t>
      </w:r>
    </w:p>
  </w:footnote>
  <w:footnote w:id="6">
    <w:p w:rsidR="0093553E" w:rsidRPr="003C6CD7" w:rsidRDefault="0093553E" w:rsidP="003C6CD7">
      <w:pPr>
        <w:pStyle w:val="FootnoteText"/>
        <w:spacing w:line="360" w:lineRule="auto"/>
        <w:rPr>
          <w:rFonts w:cs="Times New Roman"/>
          <w:sz w:val="18"/>
          <w:szCs w:val="18"/>
        </w:rPr>
      </w:pPr>
      <w:r w:rsidRPr="003C6CD7">
        <w:rPr>
          <w:rStyle w:val="FootnoteReference"/>
          <w:rFonts w:cs="Times New Roman"/>
          <w:sz w:val="18"/>
          <w:szCs w:val="18"/>
        </w:rPr>
        <w:footnoteRef/>
      </w:r>
      <w:r w:rsidRPr="003C6CD7">
        <w:rPr>
          <w:rFonts w:cs="Times New Roman"/>
          <w:sz w:val="18"/>
          <w:szCs w:val="18"/>
        </w:rPr>
        <w:t xml:space="preserve"> Paul Craig, ‘Competing Models of Judicial Review’ [1999] PL 428, 431</w:t>
      </w:r>
    </w:p>
  </w:footnote>
  <w:footnote w:id="7">
    <w:p w:rsidR="0093553E" w:rsidRPr="003C6CD7" w:rsidRDefault="0093553E" w:rsidP="003C6CD7">
      <w:pPr>
        <w:pStyle w:val="FootnoteText"/>
        <w:spacing w:line="360" w:lineRule="auto"/>
        <w:rPr>
          <w:rFonts w:cs="Times New Roman"/>
          <w:sz w:val="18"/>
          <w:szCs w:val="18"/>
        </w:rPr>
      </w:pPr>
      <w:r w:rsidRPr="003C6CD7">
        <w:rPr>
          <w:rStyle w:val="FootnoteReference"/>
          <w:rFonts w:cs="Times New Roman"/>
          <w:sz w:val="18"/>
          <w:szCs w:val="18"/>
        </w:rPr>
        <w:footnoteRef/>
      </w:r>
      <w:r w:rsidRPr="003C6CD7">
        <w:rPr>
          <w:rFonts w:cs="Times New Roman"/>
          <w:sz w:val="18"/>
          <w:szCs w:val="18"/>
        </w:rPr>
        <w:t xml:space="preserve"> op </w:t>
      </w:r>
      <w:proofErr w:type="spellStart"/>
      <w:r w:rsidRPr="003C6CD7">
        <w:rPr>
          <w:rFonts w:cs="Times New Roman"/>
          <w:sz w:val="18"/>
          <w:szCs w:val="18"/>
        </w:rPr>
        <w:t>cit</w:t>
      </w:r>
      <w:proofErr w:type="spellEnd"/>
      <w:r w:rsidRPr="003C6CD7">
        <w:rPr>
          <w:rFonts w:cs="Times New Roman"/>
          <w:sz w:val="18"/>
          <w:szCs w:val="18"/>
        </w:rPr>
        <w:t xml:space="preserve"> n2, 397</w:t>
      </w:r>
    </w:p>
  </w:footnote>
  <w:footnote w:id="8">
    <w:p w:rsidR="0093553E" w:rsidRPr="003C6CD7" w:rsidRDefault="0093553E" w:rsidP="003C6CD7">
      <w:pPr>
        <w:pStyle w:val="FootnoteText"/>
        <w:spacing w:line="360" w:lineRule="auto"/>
        <w:rPr>
          <w:sz w:val="18"/>
          <w:szCs w:val="18"/>
        </w:rPr>
      </w:pPr>
      <w:r w:rsidRPr="003C6CD7">
        <w:rPr>
          <w:rStyle w:val="FootnoteReference"/>
          <w:sz w:val="18"/>
          <w:szCs w:val="18"/>
        </w:rPr>
        <w:footnoteRef/>
      </w:r>
      <w:r w:rsidRPr="003C6CD7">
        <w:rPr>
          <w:sz w:val="18"/>
          <w:szCs w:val="18"/>
        </w:rPr>
        <w:t xml:space="preserve"> Helen Fenwick (</w:t>
      </w:r>
      <w:proofErr w:type="spellStart"/>
      <w:r w:rsidRPr="003C6CD7">
        <w:rPr>
          <w:sz w:val="18"/>
          <w:szCs w:val="18"/>
        </w:rPr>
        <w:t>ed</w:t>
      </w:r>
      <w:r w:rsidR="00F7627D">
        <w:rPr>
          <w:sz w:val="18"/>
          <w:szCs w:val="18"/>
        </w:rPr>
        <w:t>s</w:t>
      </w:r>
      <w:proofErr w:type="spellEnd"/>
      <w:r w:rsidRPr="003C6CD7">
        <w:rPr>
          <w:sz w:val="18"/>
          <w:szCs w:val="18"/>
        </w:rPr>
        <w:t xml:space="preserve">), </w:t>
      </w:r>
      <w:proofErr w:type="spellStart"/>
      <w:r w:rsidRPr="003C6CD7">
        <w:rPr>
          <w:i/>
          <w:sz w:val="18"/>
          <w:szCs w:val="18"/>
        </w:rPr>
        <w:t>Supperstone</w:t>
      </w:r>
      <w:proofErr w:type="spellEnd"/>
      <w:r w:rsidRPr="003C6CD7">
        <w:rPr>
          <w:i/>
          <w:sz w:val="18"/>
          <w:szCs w:val="18"/>
        </w:rPr>
        <w:t>, Goudie, and Walker: Judicial Review</w:t>
      </w:r>
      <w:r w:rsidRPr="003C6CD7">
        <w:rPr>
          <w:sz w:val="18"/>
          <w:szCs w:val="18"/>
        </w:rPr>
        <w:t xml:space="preserve"> (LexisNexis, 6th </w:t>
      </w:r>
      <w:proofErr w:type="spellStart"/>
      <w:r w:rsidRPr="003C6CD7">
        <w:rPr>
          <w:sz w:val="18"/>
          <w:szCs w:val="18"/>
        </w:rPr>
        <w:t>edn</w:t>
      </w:r>
      <w:proofErr w:type="spellEnd"/>
      <w:r w:rsidRPr="003C6CD7">
        <w:rPr>
          <w:sz w:val="18"/>
          <w:szCs w:val="18"/>
        </w:rPr>
        <w:t xml:space="preserve">, 2017), 6.83; </w:t>
      </w:r>
    </w:p>
  </w:footnote>
  <w:footnote w:id="9">
    <w:p w:rsidR="0093553E" w:rsidRPr="003C6CD7" w:rsidRDefault="0093553E" w:rsidP="003C6CD7">
      <w:pPr>
        <w:pStyle w:val="FootnoteText"/>
        <w:spacing w:line="360" w:lineRule="auto"/>
        <w:rPr>
          <w:rFonts w:cs="Times New Roman"/>
          <w:sz w:val="18"/>
          <w:szCs w:val="18"/>
        </w:rPr>
      </w:pPr>
      <w:r w:rsidRPr="003C6CD7">
        <w:rPr>
          <w:rStyle w:val="FootnoteReference"/>
          <w:rFonts w:cs="Times New Roman"/>
          <w:sz w:val="18"/>
          <w:szCs w:val="18"/>
        </w:rPr>
        <w:footnoteRef/>
      </w:r>
      <w:r w:rsidR="00F7627D">
        <w:rPr>
          <w:rFonts w:cs="Times New Roman"/>
          <w:sz w:val="18"/>
          <w:szCs w:val="18"/>
        </w:rPr>
        <w:t xml:space="preserve"> </w:t>
      </w:r>
      <w:proofErr w:type="gramStart"/>
      <w:r w:rsidR="00F7627D">
        <w:rPr>
          <w:rFonts w:cs="Times New Roman"/>
          <w:sz w:val="18"/>
          <w:szCs w:val="18"/>
        </w:rPr>
        <w:t>op</w:t>
      </w:r>
      <w:proofErr w:type="gramEnd"/>
      <w:r w:rsidR="00F7627D">
        <w:rPr>
          <w:rFonts w:cs="Times New Roman"/>
          <w:sz w:val="18"/>
          <w:szCs w:val="18"/>
        </w:rPr>
        <w:t xml:space="preserve"> </w:t>
      </w:r>
      <w:proofErr w:type="spellStart"/>
      <w:r w:rsidR="00F7627D">
        <w:rPr>
          <w:rFonts w:cs="Times New Roman"/>
          <w:sz w:val="18"/>
          <w:szCs w:val="18"/>
        </w:rPr>
        <w:t>cit</w:t>
      </w:r>
      <w:proofErr w:type="spellEnd"/>
      <w:r w:rsidR="00F7627D">
        <w:rPr>
          <w:rFonts w:cs="Times New Roman"/>
          <w:sz w:val="18"/>
          <w:szCs w:val="18"/>
        </w:rPr>
        <w:t xml:space="preserve"> n2</w:t>
      </w:r>
      <w:r w:rsidRPr="003C6CD7">
        <w:rPr>
          <w:rFonts w:cs="Times New Roman"/>
          <w:sz w:val="18"/>
          <w:szCs w:val="18"/>
        </w:rPr>
        <w:t>,</w:t>
      </w:r>
      <w:r w:rsidR="00F7627D">
        <w:rPr>
          <w:rFonts w:cs="Times New Roman"/>
          <w:sz w:val="18"/>
          <w:szCs w:val="18"/>
        </w:rPr>
        <w:t xml:space="preserve"> </w:t>
      </w:r>
      <w:r w:rsidRPr="003C6CD7">
        <w:rPr>
          <w:rFonts w:cs="Times New Roman"/>
          <w:sz w:val="18"/>
          <w:szCs w:val="18"/>
        </w:rPr>
        <w:t xml:space="preserve"> 408</w:t>
      </w:r>
      <w:r w:rsidR="00F7627D">
        <w:rPr>
          <w:rFonts w:cs="Times New Roman"/>
          <w:sz w:val="18"/>
          <w:szCs w:val="18"/>
        </w:rPr>
        <w:t>.</w:t>
      </w:r>
    </w:p>
  </w:footnote>
  <w:footnote w:id="10">
    <w:p w:rsidR="0093553E" w:rsidRPr="003C6CD7" w:rsidRDefault="0093553E" w:rsidP="003C6CD7">
      <w:pPr>
        <w:pStyle w:val="FootnoteText"/>
        <w:spacing w:line="360" w:lineRule="auto"/>
        <w:rPr>
          <w:rFonts w:cs="Times New Roman"/>
          <w:sz w:val="18"/>
          <w:szCs w:val="18"/>
        </w:rPr>
      </w:pPr>
      <w:r w:rsidRPr="003C6CD7">
        <w:rPr>
          <w:rStyle w:val="FootnoteReference"/>
          <w:rFonts w:cs="Times New Roman"/>
          <w:sz w:val="18"/>
          <w:szCs w:val="18"/>
        </w:rPr>
        <w:footnoteRef/>
      </w:r>
      <w:r w:rsidRPr="003C6CD7">
        <w:rPr>
          <w:rFonts w:cs="Times New Roman"/>
          <w:sz w:val="18"/>
          <w:szCs w:val="18"/>
        </w:rPr>
        <w:t xml:space="preserve"> [1987] AC 625, 702-703</w:t>
      </w:r>
    </w:p>
  </w:footnote>
  <w:footnote w:id="11">
    <w:p w:rsidR="0093553E" w:rsidRPr="003C6CD7" w:rsidRDefault="0093553E" w:rsidP="003C6CD7">
      <w:pPr>
        <w:pStyle w:val="FootnoteText"/>
        <w:spacing w:line="360" w:lineRule="auto"/>
        <w:rPr>
          <w:rFonts w:cs="Times New Roman"/>
          <w:sz w:val="18"/>
          <w:szCs w:val="18"/>
        </w:rPr>
      </w:pPr>
      <w:r w:rsidRPr="003C6CD7">
        <w:rPr>
          <w:rStyle w:val="FootnoteReference"/>
          <w:rFonts w:cs="Times New Roman"/>
          <w:sz w:val="18"/>
          <w:szCs w:val="18"/>
        </w:rPr>
        <w:footnoteRef/>
      </w:r>
      <w:r w:rsidRPr="003C6CD7">
        <w:rPr>
          <w:rFonts w:cs="Times New Roman"/>
          <w:sz w:val="18"/>
          <w:szCs w:val="18"/>
        </w:rPr>
        <w:t xml:space="preserve"> op </w:t>
      </w:r>
      <w:proofErr w:type="spellStart"/>
      <w:r w:rsidRPr="003C6CD7">
        <w:rPr>
          <w:rFonts w:cs="Times New Roman"/>
          <w:sz w:val="18"/>
          <w:szCs w:val="18"/>
        </w:rPr>
        <w:t>cit</w:t>
      </w:r>
      <w:proofErr w:type="spellEnd"/>
      <w:r w:rsidRPr="003C6CD7">
        <w:rPr>
          <w:rFonts w:cs="Times New Roman"/>
          <w:sz w:val="18"/>
          <w:szCs w:val="18"/>
        </w:rPr>
        <w:t xml:space="preserve"> n</w:t>
      </w:r>
      <w:r w:rsidR="00F7627D">
        <w:rPr>
          <w:rFonts w:cs="Times New Roman"/>
          <w:sz w:val="18"/>
          <w:szCs w:val="18"/>
        </w:rPr>
        <w:t xml:space="preserve"> </w:t>
      </w:r>
      <w:r w:rsidRPr="003C6CD7">
        <w:rPr>
          <w:rFonts w:cs="Times New Roman"/>
          <w:sz w:val="18"/>
          <w:szCs w:val="18"/>
        </w:rPr>
        <w:t>6</w:t>
      </w:r>
    </w:p>
  </w:footnote>
  <w:footnote w:id="12">
    <w:p w:rsidR="0093553E" w:rsidRPr="003C6CD7" w:rsidRDefault="0093553E" w:rsidP="003C6CD7">
      <w:pPr>
        <w:pStyle w:val="FootnoteText"/>
        <w:spacing w:line="360" w:lineRule="auto"/>
        <w:rPr>
          <w:rFonts w:cs="Times New Roman"/>
          <w:sz w:val="18"/>
          <w:szCs w:val="18"/>
        </w:rPr>
      </w:pPr>
      <w:r w:rsidRPr="003C6CD7">
        <w:rPr>
          <w:rStyle w:val="FootnoteReference"/>
          <w:rFonts w:cs="Times New Roman"/>
          <w:sz w:val="18"/>
          <w:szCs w:val="18"/>
        </w:rPr>
        <w:footnoteRef/>
      </w:r>
      <w:r w:rsidRPr="003C6CD7">
        <w:rPr>
          <w:rFonts w:cs="Times New Roman"/>
          <w:sz w:val="18"/>
          <w:szCs w:val="18"/>
        </w:rPr>
        <w:t xml:space="preserve"> The phrase “principles of good administration” is borrowed from Dennis </w:t>
      </w:r>
      <w:proofErr w:type="spellStart"/>
      <w:r w:rsidRPr="003C6CD7">
        <w:rPr>
          <w:rFonts w:cs="Times New Roman"/>
          <w:sz w:val="18"/>
          <w:szCs w:val="18"/>
        </w:rPr>
        <w:t>Galligan</w:t>
      </w:r>
      <w:proofErr w:type="spellEnd"/>
      <w:r w:rsidRPr="003C6CD7">
        <w:rPr>
          <w:rFonts w:cs="Times New Roman"/>
          <w:sz w:val="18"/>
          <w:szCs w:val="18"/>
        </w:rPr>
        <w:t xml:space="preserve">, ‘Judicial Review and the Textbook Writers’ (1982) 2 OJLS 257. </w:t>
      </w:r>
      <w:proofErr w:type="spellStart"/>
      <w:r w:rsidRPr="003C6CD7">
        <w:rPr>
          <w:rFonts w:cs="Times New Roman"/>
          <w:sz w:val="18"/>
          <w:szCs w:val="18"/>
        </w:rPr>
        <w:t>Galligan</w:t>
      </w:r>
      <w:proofErr w:type="spellEnd"/>
      <w:r w:rsidRPr="003C6CD7">
        <w:rPr>
          <w:rFonts w:cs="Times New Roman"/>
          <w:sz w:val="18"/>
          <w:szCs w:val="18"/>
        </w:rPr>
        <w:t xml:space="preserve"> argues that these principles include the various grounds of review, including the requirements of fairness, the rule against bias, other procedural propriety, substantive legitimate expectations, rationality, and possibly proportionality.</w:t>
      </w:r>
    </w:p>
  </w:footnote>
  <w:footnote w:id="13">
    <w:p w:rsidR="0093553E" w:rsidRPr="003C6CD7" w:rsidRDefault="0093553E" w:rsidP="003C6CD7">
      <w:pPr>
        <w:pStyle w:val="FootnoteText"/>
        <w:spacing w:line="360" w:lineRule="auto"/>
        <w:rPr>
          <w:rFonts w:cs="Times New Roman"/>
          <w:sz w:val="18"/>
          <w:szCs w:val="18"/>
        </w:rPr>
      </w:pPr>
      <w:r w:rsidRPr="003C6CD7">
        <w:rPr>
          <w:rStyle w:val="FootnoteReference"/>
          <w:rFonts w:cs="Times New Roman"/>
          <w:sz w:val="18"/>
          <w:szCs w:val="18"/>
        </w:rPr>
        <w:footnoteRef/>
      </w:r>
      <w:r w:rsidRPr="003C6CD7">
        <w:rPr>
          <w:rFonts w:cs="Times New Roman"/>
          <w:sz w:val="18"/>
          <w:szCs w:val="18"/>
        </w:rPr>
        <w:t xml:space="preserve"> op </w:t>
      </w:r>
      <w:proofErr w:type="spellStart"/>
      <w:r w:rsidRPr="003C6CD7">
        <w:rPr>
          <w:rFonts w:cs="Times New Roman"/>
          <w:sz w:val="18"/>
          <w:szCs w:val="18"/>
        </w:rPr>
        <w:t>cit</w:t>
      </w:r>
      <w:proofErr w:type="spellEnd"/>
      <w:r w:rsidRPr="003C6CD7">
        <w:rPr>
          <w:rFonts w:cs="Times New Roman"/>
          <w:sz w:val="18"/>
          <w:szCs w:val="18"/>
        </w:rPr>
        <w:t xml:space="preserve"> n5, CLJ, 100</w:t>
      </w:r>
    </w:p>
  </w:footnote>
  <w:footnote w:id="14">
    <w:p w:rsidR="00F7627D" w:rsidRDefault="0093553E" w:rsidP="003C6CD7">
      <w:pPr>
        <w:pStyle w:val="FootnoteText"/>
        <w:spacing w:line="360" w:lineRule="auto"/>
        <w:rPr>
          <w:rFonts w:cs="Times New Roman"/>
          <w:sz w:val="18"/>
          <w:szCs w:val="18"/>
        </w:rPr>
      </w:pPr>
      <w:r w:rsidRPr="003C6CD7">
        <w:rPr>
          <w:rStyle w:val="FootnoteReference"/>
          <w:rFonts w:cs="Times New Roman"/>
          <w:sz w:val="18"/>
          <w:szCs w:val="18"/>
        </w:rPr>
        <w:footnoteRef/>
      </w:r>
      <w:r w:rsidRPr="003C6CD7">
        <w:rPr>
          <w:rFonts w:cs="Times New Roman"/>
          <w:sz w:val="18"/>
          <w:szCs w:val="18"/>
        </w:rPr>
        <w:t xml:space="preserve"> This article does not directly address the debate between the various conceptions of the rule of law, or even its substantive content (if any). Given its minimalistic propositions, the content of the formal conception is largely agreeable: see Joseph </w:t>
      </w:r>
      <w:proofErr w:type="spellStart"/>
      <w:r w:rsidRPr="003C6CD7">
        <w:rPr>
          <w:rFonts w:cs="Times New Roman"/>
          <w:sz w:val="18"/>
          <w:szCs w:val="18"/>
        </w:rPr>
        <w:t>Raz</w:t>
      </w:r>
      <w:proofErr w:type="spellEnd"/>
      <w:r w:rsidRPr="003C6CD7">
        <w:rPr>
          <w:rFonts w:cs="Times New Roman"/>
          <w:sz w:val="18"/>
          <w:szCs w:val="18"/>
        </w:rPr>
        <w:t xml:space="preserve">, ‘The Rule of Law and its Virtue’ (1977) 93 LQR 195. The difficulty arises with the substantive conception: for example, Ronald Dworkin, </w:t>
      </w:r>
      <w:r w:rsidRPr="003C6CD7">
        <w:rPr>
          <w:rFonts w:cs="Times New Roman"/>
          <w:i/>
          <w:sz w:val="18"/>
          <w:szCs w:val="18"/>
        </w:rPr>
        <w:t>A Matter of Principle</w:t>
      </w:r>
      <w:r w:rsidRPr="003C6CD7">
        <w:rPr>
          <w:rFonts w:cs="Times New Roman"/>
          <w:sz w:val="18"/>
          <w:szCs w:val="18"/>
        </w:rPr>
        <w:t xml:space="preserve"> (Harvard University Press 1985) espouses a rights-based conception which “assumes that citizens have moral rights and duties with respect to one another, and political rights against the state as a whole” (at 11); Trevor R. S. Allan, ‘The Rule of Law as the Rule of Reason: Consent and Constitutionalism’ (1999) 115 L</w:t>
      </w:r>
      <w:r w:rsidR="00F7627D">
        <w:rPr>
          <w:rFonts w:cs="Times New Roman"/>
          <w:sz w:val="18"/>
          <w:szCs w:val="18"/>
        </w:rPr>
        <w:t xml:space="preserve">aw </w:t>
      </w:r>
      <w:r w:rsidRPr="003C6CD7">
        <w:rPr>
          <w:rFonts w:cs="Times New Roman"/>
          <w:sz w:val="18"/>
          <w:szCs w:val="18"/>
        </w:rPr>
        <w:t xml:space="preserve">QR 221, 223-224 in contrast, argues the rule of law contains not only certain substantive rights, but the ideals of equality, fairness, rationality, and proportionality which he says are </w:t>
      </w:r>
    </w:p>
    <w:p w:rsidR="00F7627D" w:rsidRPr="003C6CD7" w:rsidRDefault="0093553E" w:rsidP="003C6CD7">
      <w:pPr>
        <w:pStyle w:val="FootnoteText"/>
        <w:spacing w:line="360" w:lineRule="auto"/>
        <w:rPr>
          <w:rFonts w:cs="Times New Roman"/>
          <w:sz w:val="18"/>
          <w:szCs w:val="18"/>
        </w:rPr>
      </w:pPr>
      <w:proofErr w:type="gramStart"/>
      <w:r w:rsidRPr="003C6CD7">
        <w:rPr>
          <w:rFonts w:cs="Times New Roman"/>
          <w:sz w:val="18"/>
          <w:szCs w:val="18"/>
        </w:rPr>
        <w:t>part</w:t>
      </w:r>
      <w:proofErr w:type="gramEnd"/>
      <w:r w:rsidRPr="003C6CD7">
        <w:rPr>
          <w:rFonts w:cs="Times New Roman"/>
          <w:sz w:val="18"/>
          <w:szCs w:val="18"/>
        </w:rPr>
        <w:t xml:space="preserve"> of any “liberal theory of justice”. </w:t>
      </w:r>
    </w:p>
  </w:footnote>
  <w:footnote w:id="15">
    <w:p w:rsidR="0093553E" w:rsidRPr="003C6CD7" w:rsidRDefault="0093553E" w:rsidP="003C6CD7">
      <w:pPr>
        <w:pStyle w:val="NoSpacing"/>
        <w:tabs>
          <w:tab w:val="left" w:pos="567"/>
        </w:tabs>
        <w:spacing w:line="360" w:lineRule="auto"/>
        <w:rPr>
          <w:rFonts w:cs="Times New Roman"/>
          <w:sz w:val="18"/>
          <w:szCs w:val="18"/>
        </w:rPr>
      </w:pPr>
      <w:r w:rsidRPr="003C6CD7">
        <w:rPr>
          <w:rStyle w:val="FootnoteReference"/>
          <w:rFonts w:cs="Times New Roman"/>
          <w:sz w:val="18"/>
          <w:szCs w:val="18"/>
        </w:rPr>
        <w:footnoteRef/>
      </w:r>
      <w:r w:rsidRPr="003C6CD7">
        <w:rPr>
          <w:rFonts w:cs="Times New Roman"/>
          <w:sz w:val="18"/>
          <w:szCs w:val="18"/>
        </w:rPr>
        <w:t xml:space="preserve"> For example, in </w:t>
      </w:r>
      <w:r w:rsidRPr="003C6CD7">
        <w:rPr>
          <w:rFonts w:cs="Times New Roman"/>
          <w:i/>
          <w:sz w:val="18"/>
          <w:szCs w:val="18"/>
        </w:rPr>
        <w:t>R v Panel on Take-overs and Mergers, ex parte Guinness plc</w:t>
      </w:r>
      <w:r w:rsidRPr="003C6CD7">
        <w:rPr>
          <w:rFonts w:cs="Times New Roman"/>
          <w:sz w:val="18"/>
          <w:szCs w:val="18"/>
        </w:rPr>
        <w:t xml:space="preserve"> [1990] 1 QB 146, Lord Donaldson MR eschewed the application of the formalised category of “natural justice” as it may engage “several interlocking and mutually inconsistent considerations”. Instead, he seemed to suggest that the ultimate question which needs to be asked when fairness is concerned, is “whether something had gone wrong of a nature and degree which required the intervention of the court”. This illustrates how elastic grounds of review can be based on the quorum sitting. </w:t>
      </w:r>
    </w:p>
    <w:p w:rsidR="0093553E" w:rsidRPr="003C6CD7" w:rsidRDefault="0093553E" w:rsidP="003C6CD7">
      <w:pPr>
        <w:pStyle w:val="FootnoteText"/>
        <w:spacing w:line="360" w:lineRule="auto"/>
        <w:rPr>
          <w:rFonts w:cs="Times New Roman"/>
          <w:sz w:val="18"/>
          <w:szCs w:val="18"/>
        </w:rPr>
      </w:pPr>
    </w:p>
  </w:footnote>
  <w:footnote w:id="16">
    <w:p w:rsidR="0093553E" w:rsidRPr="003C6CD7" w:rsidRDefault="0093553E" w:rsidP="003C6CD7">
      <w:pPr>
        <w:pStyle w:val="FootnoteText"/>
        <w:spacing w:line="360" w:lineRule="auto"/>
        <w:rPr>
          <w:rFonts w:cs="Times New Roman"/>
          <w:sz w:val="18"/>
          <w:szCs w:val="18"/>
        </w:rPr>
      </w:pPr>
      <w:r w:rsidRPr="003C6CD7">
        <w:rPr>
          <w:rStyle w:val="FootnoteReference"/>
          <w:rFonts w:cs="Times New Roman"/>
          <w:sz w:val="18"/>
          <w:szCs w:val="18"/>
        </w:rPr>
        <w:footnoteRef/>
      </w:r>
      <w:r w:rsidRPr="003C6CD7">
        <w:rPr>
          <w:rFonts w:cs="Times New Roman"/>
          <w:sz w:val="18"/>
          <w:szCs w:val="18"/>
        </w:rPr>
        <w:t xml:space="preserve"> op </w:t>
      </w:r>
      <w:proofErr w:type="spellStart"/>
      <w:r w:rsidRPr="003C6CD7">
        <w:rPr>
          <w:rFonts w:cs="Times New Roman"/>
          <w:sz w:val="18"/>
          <w:szCs w:val="18"/>
        </w:rPr>
        <w:t>cit</w:t>
      </w:r>
      <w:proofErr w:type="spellEnd"/>
      <w:r w:rsidRPr="003C6CD7">
        <w:rPr>
          <w:rFonts w:cs="Times New Roman"/>
          <w:sz w:val="18"/>
          <w:szCs w:val="18"/>
        </w:rPr>
        <w:t xml:space="preserve"> n5, CLJ</w:t>
      </w:r>
      <w:r w:rsidR="00F7627D">
        <w:rPr>
          <w:rFonts w:cs="Times New Roman"/>
          <w:sz w:val="18"/>
          <w:szCs w:val="18"/>
        </w:rPr>
        <w:t>,</w:t>
      </w:r>
    </w:p>
  </w:footnote>
  <w:footnote w:id="17">
    <w:p w:rsidR="0093553E" w:rsidRPr="003C6CD7" w:rsidRDefault="0093553E" w:rsidP="003C6CD7">
      <w:pPr>
        <w:pStyle w:val="FootnoteText"/>
        <w:spacing w:line="360" w:lineRule="auto"/>
        <w:rPr>
          <w:rFonts w:cs="Times New Roman"/>
          <w:sz w:val="18"/>
          <w:szCs w:val="18"/>
        </w:rPr>
      </w:pPr>
      <w:r w:rsidRPr="003C6CD7">
        <w:rPr>
          <w:rStyle w:val="FootnoteReference"/>
          <w:rFonts w:cs="Times New Roman"/>
          <w:sz w:val="18"/>
          <w:szCs w:val="18"/>
        </w:rPr>
        <w:footnoteRef/>
      </w:r>
      <w:r w:rsidRPr="003C6CD7">
        <w:rPr>
          <w:rFonts w:cs="Times New Roman"/>
          <w:sz w:val="18"/>
          <w:szCs w:val="18"/>
        </w:rPr>
        <w:t xml:space="preserve"> Most </w:t>
      </w:r>
      <w:proofErr w:type="spellStart"/>
      <w:r w:rsidRPr="003C6CD7">
        <w:rPr>
          <w:rFonts w:cs="Times New Roman"/>
          <w:sz w:val="18"/>
          <w:szCs w:val="18"/>
        </w:rPr>
        <w:t>notabl</w:t>
      </w:r>
      <w:proofErr w:type="spellEnd"/>
      <w:r w:rsidRPr="003C6CD7">
        <w:rPr>
          <w:rFonts w:cs="Times New Roman"/>
          <w:sz w:val="18"/>
          <w:szCs w:val="18"/>
        </w:rPr>
        <w:t xml:space="preserve"> Paul Craig, ‘</w:t>
      </w:r>
      <w:r w:rsidRPr="003C6CD7">
        <w:rPr>
          <w:rFonts w:cs="Times New Roman"/>
          <w:i/>
          <w:sz w:val="18"/>
          <w:szCs w:val="18"/>
        </w:rPr>
        <w:t>Ultra Vires</w:t>
      </w:r>
      <w:r w:rsidRPr="003C6CD7">
        <w:rPr>
          <w:rFonts w:cs="Times New Roman"/>
          <w:sz w:val="18"/>
          <w:szCs w:val="18"/>
        </w:rPr>
        <w:t xml:space="preserve"> and the Foundations of Judicial Review’ [1998] CLJ 63 and in [1999] PL 428 (op </w:t>
      </w:r>
      <w:proofErr w:type="spellStart"/>
      <w:r w:rsidRPr="003C6CD7">
        <w:rPr>
          <w:rFonts w:cs="Times New Roman"/>
          <w:sz w:val="18"/>
          <w:szCs w:val="18"/>
        </w:rPr>
        <w:t>cit</w:t>
      </w:r>
      <w:proofErr w:type="spellEnd"/>
      <w:r w:rsidRPr="003C6CD7">
        <w:rPr>
          <w:rFonts w:cs="Times New Roman"/>
          <w:sz w:val="18"/>
          <w:szCs w:val="18"/>
        </w:rPr>
        <w:t xml:space="preserve"> n6); Sir John Laws, ‘Law and Democracy’ [1995] PL 72; and Jeffrey Jowell, ‘Of Vires and Vacuums: The Constitutional Context of Judicial Review’ in op </w:t>
      </w:r>
      <w:proofErr w:type="spellStart"/>
      <w:r w:rsidRPr="003C6CD7">
        <w:rPr>
          <w:rFonts w:cs="Times New Roman"/>
          <w:sz w:val="18"/>
          <w:szCs w:val="18"/>
        </w:rPr>
        <w:t>cit</w:t>
      </w:r>
      <w:proofErr w:type="spellEnd"/>
      <w:r w:rsidRPr="003C6CD7">
        <w:rPr>
          <w:rFonts w:cs="Times New Roman"/>
          <w:sz w:val="18"/>
          <w:szCs w:val="18"/>
        </w:rPr>
        <w:t xml:space="preserve"> n1. </w:t>
      </w:r>
    </w:p>
  </w:footnote>
  <w:footnote w:id="18">
    <w:p w:rsidR="0093553E" w:rsidRPr="003C6CD7" w:rsidRDefault="0093553E" w:rsidP="003C6CD7">
      <w:pPr>
        <w:pStyle w:val="FootnoteText"/>
        <w:spacing w:line="360" w:lineRule="auto"/>
        <w:rPr>
          <w:rFonts w:cs="Times New Roman"/>
          <w:sz w:val="18"/>
          <w:szCs w:val="18"/>
        </w:rPr>
      </w:pPr>
      <w:r w:rsidRPr="003C6CD7">
        <w:rPr>
          <w:rStyle w:val="FootnoteReference"/>
          <w:rFonts w:cs="Times New Roman"/>
          <w:sz w:val="18"/>
          <w:szCs w:val="18"/>
        </w:rPr>
        <w:footnoteRef/>
      </w:r>
      <w:r w:rsidRPr="003C6CD7">
        <w:rPr>
          <w:rFonts w:cs="Times New Roman"/>
          <w:sz w:val="18"/>
          <w:szCs w:val="18"/>
        </w:rPr>
        <w:t xml:space="preserve"> Or as Forsyth put it at op </w:t>
      </w:r>
      <w:proofErr w:type="spellStart"/>
      <w:r w:rsidRPr="003C6CD7">
        <w:rPr>
          <w:rFonts w:cs="Times New Roman"/>
          <w:sz w:val="18"/>
          <w:szCs w:val="18"/>
        </w:rPr>
        <w:t>cit</w:t>
      </w:r>
      <w:proofErr w:type="spellEnd"/>
      <w:r w:rsidRPr="003C6CD7">
        <w:rPr>
          <w:rFonts w:cs="Times New Roman"/>
          <w:sz w:val="18"/>
          <w:szCs w:val="18"/>
        </w:rPr>
        <w:t xml:space="preserve"> n2, 402, “The concept of </w:t>
      </w:r>
      <w:r w:rsidRPr="003C6CD7">
        <w:rPr>
          <w:rFonts w:cs="Times New Roman"/>
          <w:i/>
          <w:sz w:val="18"/>
          <w:szCs w:val="18"/>
        </w:rPr>
        <w:t>ultra vires</w:t>
      </w:r>
      <w:r w:rsidRPr="003C6CD7">
        <w:rPr>
          <w:rFonts w:cs="Times New Roman"/>
          <w:sz w:val="18"/>
          <w:szCs w:val="18"/>
        </w:rPr>
        <w:t xml:space="preserve"> and </w:t>
      </w:r>
      <w:r w:rsidRPr="003C6CD7">
        <w:rPr>
          <w:rFonts w:cs="Times New Roman"/>
          <w:i/>
          <w:sz w:val="18"/>
          <w:szCs w:val="18"/>
        </w:rPr>
        <w:t>intra vires</w:t>
      </w:r>
      <w:r w:rsidRPr="003C6CD7">
        <w:rPr>
          <w:rFonts w:cs="Times New Roman"/>
          <w:sz w:val="18"/>
          <w:szCs w:val="18"/>
        </w:rPr>
        <w:t xml:space="preserve"> are mutually exclusive… It is like pregnancy, you are either pregnant or you are not… the common law cannot impose [the principles of good administration] (see n12) without challenging parliament’s power to allow [the decision-maker] to make valid decisions… [Doing so] is imposing an additional requirement for validity. That is a challenge to parliamentary supremacy.” </w:t>
      </w:r>
    </w:p>
  </w:footnote>
  <w:footnote w:id="19">
    <w:p w:rsidR="0093553E" w:rsidRPr="003C6CD7" w:rsidRDefault="0093553E" w:rsidP="003C6CD7">
      <w:pPr>
        <w:pStyle w:val="FootnoteText"/>
        <w:spacing w:line="360" w:lineRule="auto"/>
        <w:rPr>
          <w:rFonts w:cs="Times New Roman"/>
          <w:sz w:val="18"/>
          <w:szCs w:val="18"/>
        </w:rPr>
      </w:pPr>
      <w:r w:rsidRPr="003C6CD7">
        <w:rPr>
          <w:rStyle w:val="FootnoteReference"/>
          <w:rFonts w:cs="Times New Roman"/>
          <w:sz w:val="18"/>
          <w:szCs w:val="18"/>
        </w:rPr>
        <w:footnoteRef/>
      </w:r>
      <w:r w:rsidRPr="003C6CD7">
        <w:rPr>
          <w:rFonts w:cs="Times New Roman"/>
          <w:sz w:val="18"/>
          <w:szCs w:val="18"/>
        </w:rPr>
        <w:t xml:space="preserve"> op </w:t>
      </w:r>
      <w:proofErr w:type="spellStart"/>
      <w:r w:rsidRPr="003C6CD7">
        <w:rPr>
          <w:rFonts w:cs="Times New Roman"/>
          <w:sz w:val="18"/>
          <w:szCs w:val="18"/>
        </w:rPr>
        <w:t>cit</w:t>
      </w:r>
      <w:proofErr w:type="spellEnd"/>
      <w:r w:rsidRPr="003C6CD7">
        <w:rPr>
          <w:rFonts w:cs="Times New Roman"/>
          <w:sz w:val="18"/>
          <w:szCs w:val="18"/>
        </w:rPr>
        <w:t xml:space="preserve"> n5, </w:t>
      </w:r>
      <w:r w:rsidRPr="003C6CD7">
        <w:rPr>
          <w:rFonts w:cs="Times New Roman"/>
          <w:i/>
          <w:sz w:val="18"/>
          <w:szCs w:val="18"/>
        </w:rPr>
        <w:t>Constitutional Justice</w:t>
      </w:r>
      <w:r w:rsidRPr="003C6CD7">
        <w:rPr>
          <w:rFonts w:cs="Times New Roman"/>
          <w:sz w:val="18"/>
          <w:szCs w:val="18"/>
        </w:rPr>
        <w:t>, 203-204</w:t>
      </w:r>
    </w:p>
  </w:footnote>
  <w:footnote w:id="20">
    <w:p w:rsidR="0093553E" w:rsidRPr="003C6CD7" w:rsidRDefault="0093553E" w:rsidP="003C6CD7">
      <w:pPr>
        <w:pStyle w:val="FootnoteText"/>
        <w:spacing w:line="360" w:lineRule="auto"/>
        <w:rPr>
          <w:rFonts w:cs="Times New Roman"/>
          <w:sz w:val="18"/>
          <w:szCs w:val="18"/>
        </w:rPr>
      </w:pPr>
      <w:r w:rsidRPr="003C6CD7">
        <w:rPr>
          <w:rStyle w:val="FootnoteReference"/>
          <w:rFonts w:cs="Times New Roman"/>
          <w:sz w:val="18"/>
          <w:szCs w:val="18"/>
        </w:rPr>
        <w:footnoteRef/>
      </w:r>
      <w:r w:rsidRPr="003C6CD7">
        <w:rPr>
          <w:rFonts w:cs="Times New Roman"/>
          <w:sz w:val="18"/>
          <w:szCs w:val="18"/>
        </w:rPr>
        <w:t xml:space="preserve"> Albert Venn Dicey, </w:t>
      </w:r>
      <w:r w:rsidRPr="003C6CD7">
        <w:rPr>
          <w:rFonts w:cs="Times New Roman"/>
          <w:i/>
          <w:sz w:val="18"/>
          <w:szCs w:val="18"/>
        </w:rPr>
        <w:t>Introduction to the Study of the Law of the Constitution</w:t>
      </w:r>
      <w:r w:rsidRPr="003C6CD7">
        <w:rPr>
          <w:rFonts w:cs="Times New Roman"/>
          <w:sz w:val="18"/>
          <w:szCs w:val="18"/>
        </w:rPr>
        <w:t xml:space="preserve"> (Roger E. Michener </w:t>
      </w:r>
      <w:proofErr w:type="spellStart"/>
      <w:r w:rsidRPr="003C6CD7">
        <w:rPr>
          <w:rFonts w:cs="Times New Roman"/>
          <w:sz w:val="18"/>
          <w:szCs w:val="18"/>
        </w:rPr>
        <w:t>ed</w:t>
      </w:r>
      <w:proofErr w:type="spellEnd"/>
      <w:r w:rsidRPr="003C6CD7">
        <w:rPr>
          <w:rFonts w:cs="Times New Roman"/>
          <w:sz w:val="18"/>
          <w:szCs w:val="18"/>
        </w:rPr>
        <w:t xml:space="preserve">, 8th </w:t>
      </w:r>
      <w:proofErr w:type="spellStart"/>
      <w:r w:rsidRPr="003C6CD7">
        <w:rPr>
          <w:rFonts w:cs="Times New Roman"/>
          <w:sz w:val="18"/>
          <w:szCs w:val="18"/>
        </w:rPr>
        <w:t>edn</w:t>
      </w:r>
      <w:proofErr w:type="spellEnd"/>
      <w:r w:rsidRPr="003C6CD7">
        <w:rPr>
          <w:rFonts w:cs="Times New Roman"/>
          <w:sz w:val="18"/>
          <w:szCs w:val="18"/>
        </w:rPr>
        <w:t>, Indianapolis: Liberty Fund 1982), 3-4</w:t>
      </w:r>
      <w:r w:rsidR="00F7627D">
        <w:rPr>
          <w:rFonts w:cs="Times New Roman"/>
          <w:sz w:val="18"/>
          <w:szCs w:val="18"/>
        </w:rPr>
        <w:t xml:space="preserve"> </w:t>
      </w:r>
      <w:r w:rsidRPr="003C6CD7">
        <w:rPr>
          <w:rFonts w:cs="Times New Roman"/>
          <w:sz w:val="18"/>
          <w:szCs w:val="18"/>
        </w:rPr>
        <w:t xml:space="preserve">: “The principle of Parliamentary sovereignty means neither more nor less than this, namely, that Parliament thus defined has, under the English constitution, </w:t>
      </w:r>
      <w:r w:rsidRPr="003C6CD7">
        <w:rPr>
          <w:rFonts w:cs="Times New Roman"/>
          <w:i/>
          <w:sz w:val="18"/>
          <w:szCs w:val="18"/>
        </w:rPr>
        <w:t>the right to make or unmake any law</w:t>
      </w:r>
      <w:r w:rsidRPr="003C6CD7">
        <w:rPr>
          <w:rFonts w:cs="Times New Roman"/>
          <w:sz w:val="18"/>
          <w:szCs w:val="18"/>
        </w:rPr>
        <w:t xml:space="preserve"> whatever; and, further, that n</w:t>
      </w:r>
      <w:r w:rsidRPr="003C6CD7">
        <w:rPr>
          <w:rFonts w:cs="Times New Roman"/>
          <w:i/>
          <w:sz w:val="18"/>
          <w:szCs w:val="18"/>
        </w:rPr>
        <w:t>o person or body is recognised by the law of England as having a right to override or set aside the legislation of Parliament</w:t>
      </w:r>
      <w:r w:rsidRPr="003C6CD7">
        <w:rPr>
          <w:rFonts w:cs="Times New Roman"/>
          <w:sz w:val="18"/>
          <w:szCs w:val="18"/>
        </w:rPr>
        <w:t>.” [Emphasis added]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576211"/>
      <w:docPartObj>
        <w:docPartGallery w:val="Page Numbers (Top of Page)"/>
        <w:docPartUnique/>
      </w:docPartObj>
    </w:sdtPr>
    <w:sdtEndPr>
      <w:rPr>
        <w:noProof/>
      </w:rPr>
    </w:sdtEndPr>
    <w:sdtContent>
      <w:p w:rsidR="0093553E" w:rsidRDefault="0093553E">
        <w:pPr>
          <w:pStyle w:val="Header"/>
          <w:jc w:val="right"/>
        </w:pPr>
        <w:r>
          <w:fldChar w:fldCharType="begin"/>
        </w:r>
        <w:r>
          <w:instrText xml:space="preserve"> PAGE   \* MERGEFORMAT </w:instrText>
        </w:r>
        <w:r>
          <w:fldChar w:fldCharType="separate"/>
        </w:r>
        <w:r w:rsidR="001D2885">
          <w:rPr>
            <w:noProof/>
          </w:rPr>
          <w:t>4</w:t>
        </w:r>
        <w:r>
          <w:rPr>
            <w:noProof/>
          </w:rPr>
          <w:fldChar w:fldCharType="end"/>
        </w:r>
      </w:p>
    </w:sdtContent>
  </w:sdt>
  <w:p w:rsidR="0093553E" w:rsidRDefault="009355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959"/>
    <w:rsid w:val="000013AE"/>
    <w:rsid w:val="00002769"/>
    <w:rsid w:val="00005A44"/>
    <w:rsid w:val="00014518"/>
    <w:rsid w:val="00021A0C"/>
    <w:rsid w:val="00024C96"/>
    <w:rsid w:val="000269E6"/>
    <w:rsid w:val="00033BA2"/>
    <w:rsid w:val="00034421"/>
    <w:rsid w:val="00035A1E"/>
    <w:rsid w:val="00041E11"/>
    <w:rsid w:val="00054456"/>
    <w:rsid w:val="00054BDB"/>
    <w:rsid w:val="00060256"/>
    <w:rsid w:val="00061BEC"/>
    <w:rsid w:val="00063FC1"/>
    <w:rsid w:val="0006501D"/>
    <w:rsid w:val="0006533C"/>
    <w:rsid w:val="000710C1"/>
    <w:rsid w:val="00076365"/>
    <w:rsid w:val="00076748"/>
    <w:rsid w:val="00081126"/>
    <w:rsid w:val="0008663F"/>
    <w:rsid w:val="00087813"/>
    <w:rsid w:val="00094DB9"/>
    <w:rsid w:val="00094FBC"/>
    <w:rsid w:val="000A317F"/>
    <w:rsid w:val="000A42F0"/>
    <w:rsid w:val="000B18E0"/>
    <w:rsid w:val="000C5581"/>
    <w:rsid w:val="000C6C74"/>
    <w:rsid w:val="000D1095"/>
    <w:rsid w:val="000D1E1B"/>
    <w:rsid w:val="000D423E"/>
    <w:rsid w:val="000E169B"/>
    <w:rsid w:val="000E1886"/>
    <w:rsid w:val="000E517C"/>
    <w:rsid w:val="000E73EA"/>
    <w:rsid w:val="000F0EAC"/>
    <w:rsid w:val="00104915"/>
    <w:rsid w:val="001061EB"/>
    <w:rsid w:val="00106E02"/>
    <w:rsid w:val="001123ED"/>
    <w:rsid w:val="00113701"/>
    <w:rsid w:val="00120E9C"/>
    <w:rsid w:val="001232D2"/>
    <w:rsid w:val="001242F2"/>
    <w:rsid w:val="00127414"/>
    <w:rsid w:val="00147CC5"/>
    <w:rsid w:val="00150875"/>
    <w:rsid w:val="0015183B"/>
    <w:rsid w:val="00151B3C"/>
    <w:rsid w:val="001577B1"/>
    <w:rsid w:val="001602FA"/>
    <w:rsid w:val="00163135"/>
    <w:rsid w:val="001669E9"/>
    <w:rsid w:val="00166B13"/>
    <w:rsid w:val="00175C59"/>
    <w:rsid w:val="00182E35"/>
    <w:rsid w:val="00184DE8"/>
    <w:rsid w:val="00186FFF"/>
    <w:rsid w:val="00187979"/>
    <w:rsid w:val="001A5718"/>
    <w:rsid w:val="001A6189"/>
    <w:rsid w:val="001B1172"/>
    <w:rsid w:val="001B48C0"/>
    <w:rsid w:val="001B7F7F"/>
    <w:rsid w:val="001D2885"/>
    <w:rsid w:val="001D3243"/>
    <w:rsid w:val="001D4A90"/>
    <w:rsid w:val="001D768A"/>
    <w:rsid w:val="001E137A"/>
    <w:rsid w:val="001E6317"/>
    <w:rsid w:val="001F1945"/>
    <w:rsid w:val="001F650F"/>
    <w:rsid w:val="001F75E5"/>
    <w:rsid w:val="001F7F14"/>
    <w:rsid w:val="002043FC"/>
    <w:rsid w:val="00215D0A"/>
    <w:rsid w:val="0024077C"/>
    <w:rsid w:val="00243309"/>
    <w:rsid w:val="0024372E"/>
    <w:rsid w:val="00256748"/>
    <w:rsid w:val="00256961"/>
    <w:rsid w:val="002606DA"/>
    <w:rsid w:val="00262440"/>
    <w:rsid w:val="00263764"/>
    <w:rsid w:val="00271C17"/>
    <w:rsid w:val="002735DF"/>
    <w:rsid w:val="00276122"/>
    <w:rsid w:val="0028059B"/>
    <w:rsid w:val="0028673B"/>
    <w:rsid w:val="00291B43"/>
    <w:rsid w:val="002A013A"/>
    <w:rsid w:val="002A4255"/>
    <w:rsid w:val="002B2324"/>
    <w:rsid w:val="002B28AB"/>
    <w:rsid w:val="002B430D"/>
    <w:rsid w:val="002C0287"/>
    <w:rsid w:val="002C40C5"/>
    <w:rsid w:val="002C7DD0"/>
    <w:rsid w:val="002D03D7"/>
    <w:rsid w:val="002D5A1F"/>
    <w:rsid w:val="002D7D07"/>
    <w:rsid w:val="002E3F5F"/>
    <w:rsid w:val="002E6412"/>
    <w:rsid w:val="002E6976"/>
    <w:rsid w:val="002F2BAD"/>
    <w:rsid w:val="002F4EEE"/>
    <w:rsid w:val="002F7496"/>
    <w:rsid w:val="003178E9"/>
    <w:rsid w:val="00320C6C"/>
    <w:rsid w:val="00335807"/>
    <w:rsid w:val="003427EC"/>
    <w:rsid w:val="0034506B"/>
    <w:rsid w:val="00351304"/>
    <w:rsid w:val="00352C3E"/>
    <w:rsid w:val="003554CC"/>
    <w:rsid w:val="003563F0"/>
    <w:rsid w:val="00362802"/>
    <w:rsid w:val="00372E41"/>
    <w:rsid w:val="003858CF"/>
    <w:rsid w:val="00386B86"/>
    <w:rsid w:val="00396A03"/>
    <w:rsid w:val="00397F54"/>
    <w:rsid w:val="003A128D"/>
    <w:rsid w:val="003A3A49"/>
    <w:rsid w:val="003A43C9"/>
    <w:rsid w:val="003A7E99"/>
    <w:rsid w:val="003B13BA"/>
    <w:rsid w:val="003B5361"/>
    <w:rsid w:val="003B7916"/>
    <w:rsid w:val="003C0183"/>
    <w:rsid w:val="003C2BAF"/>
    <w:rsid w:val="003C6CD7"/>
    <w:rsid w:val="003C7117"/>
    <w:rsid w:val="003D7D5C"/>
    <w:rsid w:val="003E34B9"/>
    <w:rsid w:val="003E64C3"/>
    <w:rsid w:val="003F15CA"/>
    <w:rsid w:val="003F4B3F"/>
    <w:rsid w:val="0040106B"/>
    <w:rsid w:val="00402414"/>
    <w:rsid w:val="00403AFD"/>
    <w:rsid w:val="0040644C"/>
    <w:rsid w:val="004103E4"/>
    <w:rsid w:val="0041657F"/>
    <w:rsid w:val="00421AD6"/>
    <w:rsid w:val="00424F06"/>
    <w:rsid w:val="00435595"/>
    <w:rsid w:val="004401CD"/>
    <w:rsid w:val="00445190"/>
    <w:rsid w:val="004508D1"/>
    <w:rsid w:val="004629C8"/>
    <w:rsid w:val="00464DD3"/>
    <w:rsid w:val="00466876"/>
    <w:rsid w:val="00467A2B"/>
    <w:rsid w:val="00472074"/>
    <w:rsid w:val="00481CDB"/>
    <w:rsid w:val="00482FE3"/>
    <w:rsid w:val="00486309"/>
    <w:rsid w:val="0049557C"/>
    <w:rsid w:val="004A2C50"/>
    <w:rsid w:val="004B2FD2"/>
    <w:rsid w:val="004B7324"/>
    <w:rsid w:val="004D32C0"/>
    <w:rsid w:val="004D34CC"/>
    <w:rsid w:val="004D4232"/>
    <w:rsid w:val="004D5E36"/>
    <w:rsid w:val="004E0142"/>
    <w:rsid w:val="004E0252"/>
    <w:rsid w:val="004E0649"/>
    <w:rsid w:val="004E1F9A"/>
    <w:rsid w:val="004E4A02"/>
    <w:rsid w:val="004F31E6"/>
    <w:rsid w:val="00507CA4"/>
    <w:rsid w:val="00507E5F"/>
    <w:rsid w:val="00512BF8"/>
    <w:rsid w:val="00512D17"/>
    <w:rsid w:val="00521B44"/>
    <w:rsid w:val="00521C2C"/>
    <w:rsid w:val="00523824"/>
    <w:rsid w:val="00523BE9"/>
    <w:rsid w:val="0053155C"/>
    <w:rsid w:val="005325E0"/>
    <w:rsid w:val="0053434B"/>
    <w:rsid w:val="005412E7"/>
    <w:rsid w:val="00542823"/>
    <w:rsid w:val="00544CBC"/>
    <w:rsid w:val="00551F23"/>
    <w:rsid w:val="00551F2C"/>
    <w:rsid w:val="0055640C"/>
    <w:rsid w:val="005667A0"/>
    <w:rsid w:val="00570221"/>
    <w:rsid w:val="0057175B"/>
    <w:rsid w:val="00573454"/>
    <w:rsid w:val="0057777D"/>
    <w:rsid w:val="0058040E"/>
    <w:rsid w:val="00591B0D"/>
    <w:rsid w:val="00591BE4"/>
    <w:rsid w:val="005A1827"/>
    <w:rsid w:val="005A6959"/>
    <w:rsid w:val="005A7393"/>
    <w:rsid w:val="005B529D"/>
    <w:rsid w:val="005C5072"/>
    <w:rsid w:val="005D0C9B"/>
    <w:rsid w:val="005D13CD"/>
    <w:rsid w:val="005D17CD"/>
    <w:rsid w:val="005D1942"/>
    <w:rsid w:val="005D274B"/>
    <w:rsid w:val="005D7B56"/>
    <w:rsid w:val="005E50D2"/>
    <w:rsid w:val="005F35EE"/>
    <w:rsid w:val="005F7CE4"/>
    <w:rsid w:val="006017DA"/>
    <w:rsid w:val="006129D1"/>
    <w:rsid w:val="00612CE1"/>
    <w:rsid w:val="00613F45"/>
    <w:rsid w:val="006158DE"/>
    <w:rsid w:val="0062004C"/>
    <w:rsid w:val="00630418"/>
    <w:rsid w:val="006313B8"/>
    <w:rsid w:val="00631B16"/>
    <w:rsid w:val="00632531"/>
    <w:rsid w:val="006327F4"/>
    <w:rsid w:val="00643E7E"/>
    <w:rsid w:val="00644CE3"/>
    <w:rsid w:val="00646538"/>
    <w:rsid w:val="0065285D"/>
    <w:rsid w:val="00654200"/>
    <w:rsid w:val="006572F2"/>
    <w:rsid w:val="00657338"/>
    <w:rsid w:val="00664037"/>
    <w:rsid w:val="00671EE3"/>
    <w:rsid w:val="00677E8F"/>
    <w:rsid w:val="0068165F"/>
    <w:rsid w:val="00687ED9"/>
    <w:rsid w:val="00692C46"/>
    <w:rsid w:val="00694F4A"/>
    <w:rsid w:val="00696997"/>
    <w:rsid w:val="006978EA"/>
    <w:rsid w:val="006A1803"/>
    <w:rsid w:val="006A258B"/>
    <w:rsid w:val="006A465E"/>
    <w:rsid w:val="006A55E1"/>
    <w:rsid w:val="006A7250"/>
    <w:rsid w:val="006B4C7B"/>
    <w:rsid w:val="006B7089"/>
    <w:rsid w:val="006C118B"/>
    <w:rsid w:val="006C2871"/>
    <w:rsid w:val="006C7A6F"/>
    <w:rsid w:val="006D1DC4"/>
    <w:rsid w:val="006E6C0A"/>
    <w:rsid w:val="006F0EF4"/>
    <w:rsid w:val="006F26B2"/>
    <w:rsid w:val="006F336B"/>
    <w:rsid w:val="006F4CD2"/>
    <w:rsid w:val="007018F7"/>
    <w:rsid w:val="00705109"/>
    <w:rsid w:val="00705B88"/>
    <w:rsid w:val="0071657D"/>
    <w:rsid w:val="00723119"/>
    <w:rsid w:val="007268B7"/>
    <w:rsid w:val="00732FB5"/>
    <w:rsid w:val="00745B02"/>
    <w:rsid w:val="0074652B"/>
    <w:rsid w:val="007475F8"/>
    <w:rsid w:val="00750D31"/>
    <w:rsid w:val="007520C6"/>
    <w:rsid w:val="00754629"/>
    <w:rsid w:val="0075492A"/>
    <w:rsid w:val="00754C83"/>
    <w:rsid w:val="0075563A"/>
    <w:rsid w:val="0076061C"/>
    <w:rsid w:val="00760F93"/>
    <w:rsid w:val="00761C70"/>
    <w:rsid w:val="00765241"/>
    <w:rsid w:val="007703BF"/>
    <w:rsid w:val="00770D21"/>
    <w:rsid w:val="007746A1"/>
    <w:rsid w:val="00781EBF"/>
    <w:rsid w:val="0078394E"/>
    <w:rsid w:val="0078612A"/>
    <w:rsid w:val="00786FF6"/>
    <w:rsid w:val="007873F6"/>
    <w:rsid w:val="007875F4"/>
    <w:rsid w:val="0079404C"/>
    <w:rsid w:val="00795EAD"/>
    <w:rsid w:val="007B6274"/>
    <w:rsid w:val="007B7076"/>
    <w:rsid w:val="007C7334"/>
    <w:rsid w:val="007C7F6D"/>
    <w:rsid w:val="007D1D94"/>
    <w:rsid w:val="007D1F0C"/>
    <w:rsid w:val="007D4FF3"/>
    <w:rsid w:val="007D5395"/>
    <w:rsid w:val="007D76B2"/>
    <w:rsid w:val="007E0131"/>
    <w:rsid w:val="007E0925"/>
    <w:rsid w:val="007E1B5B"/>
    <w:rsid w:val="007E23F8"/>
    <w:rsid w:val="007E3042"/>
    <w:rsid w:val="007F1078"/>
    <w:rsid w:val="007F1927"/>
    <w:rsid w:val="007F1E25"/>
    <w:rsid w:val="007F1E91"/>
    <w:rsid w:val="007F48E9"/>
    <w:rsid w:val="007F4C11"/>
    <w:rsid w:val="007F64B1"/>
    <w:rsid w:val="007F65AF"/>
    <w:rsid w:val="00804CAB"/>
    <w:rsid w:val="00811366"/>
    <w:rsid w:val="008114C1"/>
    <w:rsid w:val="0081157E"/>
    <w:rsid w:val="00811F0A"/>
    <w:rsid w:val="00812296"/>
    <w:rsid w:val="0081286C"/>
    <w:rsid w:val="00813356"/>
    <w:rsid w:val="00814589"/>
    <w:rsid w:val="00815C7B"/>
    <w:rsid w:val="0081786D"/>
    <w:rsid w:val="00834E8E"/>
    <w:rsid w:val="0084472E"/>
    <w:rsid w:val="00845223"/>
    <w:rsid w:val="0085046A"/>
    <w:rsid w:val="0085196B"/>
    <w:rsid w:val="0085717A"/>
    <w:rsid w:val="0086080D"/>
    <w:rsid w:val="008644A5"/>
    <w:rsid w:val="00865AB9"/>
    <w:rsid w:val="00866591"/>
    <w:rsid w:val="00867227"/>
    <w:rsid w:val="00870360"/>
    <w:rsid w:val="00874960"/>
    <w:rsid w:val="00875556"/>
    <w:rsid w:val="00875C9C"/>
    <w:rsid w:val="00877E5E"/>
    <w:rsid w:val="0088105B"/>
    <w:rsid w:val="008903E5"/>
    <w:rsid w:val="008957FE"/>
    <w:rsid w:val="008A361C"/>
    <w:rsid w:val="008A5B39"/>
    <w:rsid w:val="008A646B"/>
    <w:rsid w:val="008B1819"/>
    <w:rsid w:val="008B1EDB"/>
    <w:rsid w:val="008B3094"/>
    <w:rsid w:val="008C1882"/>
    <w:rsid w:val="008C6639"/>
    <w:rsid w:val="008D0BDB"/>
    <w:rsid w:val="008D610D"/>
    <w:rsid w:val="008D6C90"/>
    <w:rsid w:val="008D7C20"/>
    <w:rsid w:val="008E2DE5"/>
    <w:rsid w:val="008E3CAD"/>
    <w:rsid w:val="008F22B3"/>
    <w:rsid w:val="008F5163"/>
    <w:rsid w:val="008F6C98"/>
    <w:rsid w:val="00902E15"/>
    <w:rsid w:val="00904ADC"/>
    <w:rsid w:val="00910DF5"/>
    <w:rsid w:val="00910E26"/>
    <w:rsid w:val="009234CF"/>
    <w:rsid w:val="00923772"/>
    <w:rsid w:val="00923EC0"/>
    <w:rsid w:val="009275B1"/>
    <w:rsid w:val="0093553E"/>
    <w:rsid w:val="0094082C"/>
    <w:rsid w:val="00952C45"/>
    <w:rsid w:val="00962237"/>
    <w:rsid w:val="009652CC"/>
    <w:rsid w:val="00965A44"/>
    <w:rsid w:val="009665DF"/>
    <w:rsid w:val="00967C62"/>
    <w:rsid w:val="009827A1"/>
    <w:rsid w:val="00991E1E"/>
    <w:rsid w:val="009953D6"/>
    <w:rsid w:val="009A3804"/>
    <w:rsid w:val="009A4865"/>
    <w:rsid w:val="009A64DF"/>
    <w:rsid w:val="009B0395"/>
    <w:rsid w:val="009B7FD8"/>
    <w:rsid w:val="009D2069"/>
    <w:rsid w:val="009D3061"/>
    <w:rsid w:val="009D38BF"/>
    <w:rsid w:val="009D7F87"/>
    <w:rsid w:val="009E14E2"/>
    <w:rsid w:val="009F0E95"/>
    <w:rsid w:val="009F5B6D"/>
    <w:rsid w:val="00A0126B"/>
    <w:rsid w:val="00A0158A"/>
    <w:rsid w:val="00A03F29"/>
    <w:rsid w:val="00A06594"/>
    <w:rsid w:val="00A066C1"/>
    <w:rsid w:val="00A128E0"/>
    <w:rsid w:val="00A14296"/>
    <w:rsid w:val="00A17D86"/>
    <w:rsid w:val="00A2764F"/>
    <w:rsid w:val="00A3086F"/>
    <w:rsid w:val="00A33CE9"/>
    <w:rsid w:val="00A33E78"/>
    <w:rsid w:val="00A35B2E"/>
    <w:rsid w:val="00A4066E"/>
    <w:rsid w:val="00A42D86"/>
    <w:rsid w:val="00A477DA"/>
    <w:rsid w:val="00A50277"/>
    <w:rsid w:val="00A60707"/>
    <w:rsid w:val="00A73CF4"/>
    <w:rsid w:val="00A81E34"/>
    <w:rsid w:val="00A8569E"/>
    <w:rsid w:val="00A86084"/>
    <w:rsid w:val="00A870A8"/>
    <w:rsid w:val="00AA2167"/>
    <w:rsid w:val="00AA2E5B"/>
    <w:rsid w:val="00AA55A1"/>
    <w:rsid w:val="00AA59C6"/>
    <w:rsid w:val="00AA76ED"/>
    <w:rsid w:val="00AB3FA3"/>
    <w:rsid w:val="00AB69D9"/>
    <w:rsid w:val="00AC5627"/>
    <w:rsid w:val="00AE72B0"/>
    <w:rsid w:val="00AF0896"/>
    <w:rsid w:val="00AF16E7"/>
    <w:rsid w:val="00AF440B"/>
    <w:rsid w:val="00B14D39"/>
    <w:rsid w:val="00B226E3"/>
    <w:rsid w:val="00B4733F"/>
    <w:rsid w:val="00B50CA3"/>
    <w:rsid w:val="00B70D33"/>
    <w:rsid w:val="00B80EF8"/>
    <w:rsid w:val="00B9092C"/>
    <w:rsid w:val="00B92C99"/>
    <w:rsid w:val="00BA6CB6"/>
    <w:rsid w:val="00BB4667"/>
    <w:rsid w:val="00BB5125"/>
    <w:rsid w:val="00BB5F7A"/>
    <w:rsid w:val="00BC4636"/>
    <w:rsid w:val="00BC7157"/>
    <w:rsid w:val="00BC79B1"/>
    <w:rsid w:val="00BD0916"/>
    <w:rsid w:val="00BD1FEB"/>
    <w:rsid w:val="00BD40B6"/>
    <w:rsid w:val="00BE2CB9"/>
    <w:rsid w:val="00BE2D09"/>
    <w:rsid w:val="00BE7335"/>
    <w:rsid w:val="00BF02DB"/>
    <w:rsid w:val="00BF132A"/>
    <w:rsid w:val="00C02AC1"/>
    <w:rsid w:val="00C0514D"/>
    <w:rsid w:val="00C05C38"/>
    <w:rsid w:val="00C06CB2"/>
    <w:rsid w:val="00C24EC1"/>
    <w:rsid w:val="00C30097"/>
    <w:rsid w:val="00C33A1B"/>
    <w:rsid w:val="00C34F38"/>
    <w:rsid w:val="00C4524D"/>
    <w:rsid w:val="00C52B43"/>
    <w:rsid w:val="00C611AE"/>
    <w:rsid w:val="00C61BF0"/>
    <w:rsid w:val="00C625E1"/>
    <w:rsid w:val="00C724FF"/>
    <w:rsid w:val="00C75347"/>
    <w:rsid w:val="00C821E3"/>
    <w:rsid w:val="00C83EA2"/>
    <w:rsid w:val="00C862A3"/>
    <w:rsid w:val="00C94C8C"/>
    <w:rsid w:val="00CA4FCA"/>
    <w:rsid w:val="00CB1286"/>
    <w:rsid w:val="00CB361F"/>
    <w:rsid w:val="00CB4D90"/>
    <w:rsid w:val="00CB5590"/>
    <w:rsid w:val="00CC661A"/>
    <w:rsid w:val="00CC74D4"/>
    <w:rsid w:val="00CE44AA"/>
    <w:rsid w:val="00CE587B"/>
    <w:rsid w:val="00CF0F3E"/>
    <w:rsid w:val="00CF6558"/>
    <w:rsid w:val="00CF7EC4"/>
    <w:rsid w:val="00D37E5C"/>
    <w:rsid w:val="00D418BA"/>
    <w:rsid w:val="00D4443F"/>
    <w:rsid w:val="00D522AA"/>
    <w:rsid w:val="00D642FD"/>
    <w:rsid w:val="00D80E70"/>
    <w:rsid w:val="00D95EE7"/>
    <w:rsid w:val="00DA44BF"/>
    <w:rsid w:val="00DA7EE5"/>
    <w:rsid w:val="00DB23A6"/>
    <w:rsid w:val="00DB35EE"/>
    <w:rsid w:val="00DB7464"/>
    <w:rsid w:val="00DB7FCA"/>
    <w:rsid w:val="00DD3C58"/>
    <w:rsid w:val="00DE60B3"/>
    <w:rsid w:val="00DE7BBC"/>
    <w:rsid w:val="00DF3E8C"/>
    <w:rsid w:val="00DF49A5"/>
    <w:rsid w:val="00DF7286"/>
    <w:rsid w:val="00E00195"/>
    <w:rsid w:val="00E0098F"/>
    <w:rsid w:val="00E04E40"/>
    <w:rsid w:val="00E056EA"/>
    <w:rsid w:val="00E05DC7"/>
    <w:rsid w:val="00E1230D"/>
    <w:rsid w:val="00E15CFD"/>
    <w:rsid w:val="00E177F2"/>
    <w:rsid w:val="00E22F9C"/>
    <w:rsid w:val="00E2455F"/>
    <w:rsid w:val="00E30F11"/>
    <w:rsid w:val="00E31284"/>
    <w:rsid w:val="00E368FD"/>
    <w:rsid w:val="00E42BF0"/>
    <w:rsid w:val="00E434F8"/>
    <w:rsid w:val="00E472D4"/>
    <w:rsid w:val="00E506DD"/>
    <w:rsid w:val="00E56936"/>
    <w:rsid w:val="00E56E64"/>
    <w:rsid w:val="00E571D6"/>
    <w:rsid w:val="00E620D2"/>
    <w:rsid w:val="00E63C86"/>
    <w:rsid w:val="00E72195"/>
    <w:rsid w:val="00E73210"/>
    <w:rsid w:val="00E82735"/>
    <w:rsid w:val="00E92B9E"/>
    <w:rsid w:val="00E93A33"/>
    <w:rsid w:val="00E95690"/>
    <w:rsid w:val="00E96D79"/>
    <w:rsid w:val="00EA105C"/>
    <w:rsid w:val="00EA218A"/>
    <w:rsid w:val="00EA2368"/>
    <w:rsid w:val="00EA3095"/>
    <w:rsid w:val="00EA5967"/>
    <w:rsid w:val="00EB559F"/>
    <w:rsid w:val="00EC4629"/>
    <w:rsid w:val="00ED3F92"/>
    <w:rsid w:val="00EE2A72"/>
    <w:rsid w:val="00EE3405"/>
    <w:rsid w:val="00EF157B"/>
    <w:rsid w:val="00EF1699"/>
    <w:rsid w:val="00F05D58"/>
    <w:rsid w:val="00F10CCA"/>
    <w:rsid w:val="00F134A6"/>
    <w:rsid w:val="00F25E37"/>
    <w:rsid w:val="00F27659"/>
    <w:rsid w:val="00F36324"/>
    <w:rsid w:val="00F400A6"/>
    <w:rsid w:val="00F445B6"/>
    <w:rsid w:val="00F46401"/>
    <w:rsid w:val="00F52164"/>
    <w:rsid w:val="00F61A5D"/>
    <w:rsid w:val="00F6212C"/>
    <w:rsid w:val="00F62F24"/>
    <w:rsid w:val="00F73BA4"/>
    <w:rsid w:val="00F7627D"/>
    <w:rsid w:val="00F76BC5"/>
    <w:rsid w:val="00F807B1"/>
    <w:rsid w:val="00F82774"/>
    <w:rsid w:val="00F8421B"/>
    <w:rsid w:val="00F9100E"/>
    <w:rsid w:val="00F92559"/>
    <w:rsid w:val="00F93C82"/>
    <w:rsid w:val="00F95312"/>
    <w:rsid w:val="00F96BF9"/>
    <w:rsid w:val="00FA38E8"/>
    <w:rsid w:val="00FA3A7F"/>
    <w:rsid w:val="00FA6D80"/>
    <w:rsid w:val="00FA6F4C"/>
    <w:rsid w:val="00FB0C8D"/>
    <w:rsid w:val="00FB68B5"/>
    <w:rsid w:val="00FC2389"/>
    <w:rsid w:val="00FD0379"/>
    <w:rsid w:val="00FD3C0F"/>
    <w:rsid w:val="00FE03E7"/>
    <w:rsid w:val="00FE21B0"/>
    <w:rsid w:val="00FF2340"/>
    <w:rsid w:val="00FF2E1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1EF7B-9A28-46D5-B70F-7AA8CA80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812296"/>
    <w:pPr>
      <w:ind w:left="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2296"/>
    <w:pPr>
      <w:ind w:left="0"/>
      <w:jc w:val="both"/>
    </w:pPr>
    <w:rPr>
      <w:rFonts w:ascii="Times New Roman" w:hAnsi="Times New Roman"/>
      <w:sz w:val="24"/>
    </w:rPr>
  </w:style>
  <w:style w:type="paragraph" w:styleId="Header">
    <w:name w:val="header"/>
    <w:basedOn w:val="Normal"/>
    <w:link w:val="HeaderChar"/>
    <w:uiPriority w:val="99"/>
    <w:unhideWhenUsed/>
    <w:rsid w:val="00E2455F"/>
    <w:pPr>
      <w:tabs>
        <w:tab w:val="center" w:pos="4513"/>
        <w:tab w:val="right" w:pos="9026"/>
      </w:tabs>
    </w:pPr>
  </w:style>
  <w:style w:type="character" w:customStyle="1" w:styleId="HeaderChar">
    <w:name w:val="Header Char"/>
    <w:basedOn w:val="DefaultParagraphFont"/>
    <w:link w:val="Header"/>
    <w:uiPriority w:val="99"/>
    <w:rsid w:val="00E2455F"/>
    <w:rPr>
      <w:rFonts w:ascii="Times New Roman" w:hAnsi="Times New Roman"/>
      <w:sz w:val="24"/>
    </w:rPr>
  </w:style>
  <w:style w:type="paragraph" w:styleId="Footer">
    <w:name w:val="footer"/>
    <w:basedOn w:val="Normal"/>
    <w:link w:val="FooterChar"/>
    <w:uiPriority w:val="99"/>
    <w:unhideWhenUsed/>
    <w:rsid w:val="00E2455F"/>
    <w:pPr>
      <w:tabs>
        <w:tab w:val="center" w:pos="4513"/>
        <w:tab w:val="right" w:pos="9026"/>
      </w:tabs>
    </w:pPr>
  </w:style>
  <w:style w:type="character" w:customStyle="1" w:styleId="FooterChar">
    <w:name w:val="Footer Char"/>
    <w:basedOn w:val="DefaultParagraphFont"/>
    <w:link w:val="Footer"/>
    <w:uiPriority w:val="99"/>
    <w:rsid w:val="00E2455F"/>
    <w:rPr>
      <w:rFonts w:ascii="Times New Roman" w:hAnsi="Times New Roman"/>
      <w:sz w:val="24"/>
    </w:rPr>
  </w:style>
  <w:style w:type="paragraph" w:styleId="FootnoteText">
    <w:name w:val="footnote text"/>
    <w:basedOn w:val="Normal"/>
    <w:link w:val="FootnoteTextChar"/>
    <w:uiPriority w:val="99"/>
    <w:semiHidden/>
    <w:unhideWhenUsed/>
    <w:rsid w:val="00054BDB"/>
    <w:rPr>
      <w:sz w:val="20"/>
      <w:szCs w:val="20"/>
    </w:rPr>
  </w:style>
  <w:style w:type="character" w:customStyle="1" w:styleId="FootnoteTextChar">
    <w:name w:val="Footnote Text Char"/>
    <w:basedOn w:val="DefaultParagraphFont"/>
    <w:link w:val="FootnoteText"/>
    <w:uiPriority w:val="99"/>
    <w:semiHidden/>
    <w:rsid w:val="00054BDB"/>
    <w:rPr>
      <w:rFonts w:ascii="Times New Roman" w:hAnsi="Times New Roman"/>
      <w:sz w:val="20"/>
      <w:szCs w:val="20"/>
    </w:rPr>
  </w:style>
  <w:style w:type="character" w:styleId="FootnoteReference">
    <w:name w:val="footnote reference"/>
    <w:basedOn w:val="DefaultParagraphFont"/>
    <w:uiPriority w:val="99"/>
    <w:semiHidden/>
    <w:unhideWhenUsed/>
    <w:rsid w:val="00054B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00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Kang</dc:creator>
  <cp:keywords/>
  <dc:description/>
  <cp:lastModifiedBy>Jared Kang</cp:lastModifiedBy>
  <cp:revision>4</cp:revision>
  <dcterms:created xsi:type="dcterms:W3CDTF">2018-08-28T04:57:00Z</dcterms:created>
  <dcterms:modified xsi:type="dcterms:W3CDTF">2018-08-28T05:06:00Z</dcterms:modified>
</cp:coreProperties>
</file>